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3BD66" w14:textId="414B4039" w:rsidR="00E125C8" w:rsidRDefault="001A27A2" w:rsidP="005C3B3E">
      <w:pPr>
        <w:jc w:val="center"/>
        <w:rPr>
          <w:rFonts w:ascii="Times New Roman" w:hAnsi="Times New Roman" w:cs="Times New Roman"/>
          <w:b/>
          <w:sz w:val="32"/>
          <w:szCs w:val="32"/>
        </w:rPr>
      </w:pPr>
      <w:r w:rsidRPr="001A27A2">
        <w:rPr>
          <w:rFonts w:ascii="Times New Roman" w:hAnsi="Times New Roman" w:cs="Times New Roman"/>
          <w:b/>
          <w:sz w:val="32"/>
          <w:szCs w:val="32"/>
        </w:rPr>
        <w:t>Evolving Resource-Based View</w:t>
      </w:r>
      <w:bookmarkStart w:id="0" w:name="_GoBack"/>
      <w:bookmarkEnd w:id="0"/>
      <w:r w:rsidRPr="001A27A2">
        <w:rPr>
          <w:rFonts w:ascii="Times New Roman" w:hAnsi="Times New Roman" w:cs="Times New Roman"/>
          <w:b/>
          <w:sz w:val="32"/>
          <w:szCs w:val="32"/>
        </w:rPr>
        <w:t>: A Bibliometric Analysis of Firm Performance</w:t>
      </w:r>
    </w:p>
    <w:p w14:paraId="4E6A7D48" w14:textId="77777777" w:rsidR="00E125C8" w:rsidRDefault="00E125C8" w:rsidP="005C3B3E">
      <w:pPr>
        <w:jc w:val="center"/>
        <w:rPr>
          <w:rFonts w:ascii="Times New Roman" w:hAnsi="Times New Roman" w:cs="Times New Roman"/>
          <w:b/>
        </w:rPr>
      </w:pPr>
    </w:p>
    <w:p w14:paraId="66550400" w14:textId="2211B0A6" w:rsidR="00E125C8" w:rsidRDefault="001A27A2" w:rsidP="005C3B3E">
      <w:pPr>
        <w:jc w:val="center"/>
        <w:rPr>
          <w:rFonts w:ascii="Times New Roman" w:hAnsi="Times New Roman" w:cs="Times New Roman"/>
          <w:b/>
        </w:rPr>
      </w:pPr>
      <w:r>
        <w:rPr>
          <w:rFonts w:ascii="Times New Roman" w:hAnsi="Times New Roman" w:cs="Times New Roman"/>
          <w:b/>
        </w:rPr>
        <w:t>Kendra Valentin</w:t>
      </w:r>
      <w:r>
        <w:rPr>
          <w:rFonts w:ascii="Times New Roman" w:hAnsi="Times New Roman" w:cs="Times New Roman"/>
          <w:b/>
          <w:vertAlign w:val="superscript"/>
        </w:rPr>
        <w:t>1</w:t>
      </w:r>
      <w:r>
        <w:rPr>
          <w:rFonts w:ascii="Times New Roman" w:hAnsi="Times New Roman" w:cs="Times New Roman"/>
          <w:b/>
        </w:rPr>
        <w:t xml:space="preserve">, </w:t>
      </w:r>
      <w:r w:rsidR="0012399B">
        <w:rPr>
          <w:rFonts w:ascii="Times New Roman" w:hAnsi="Times New Roman" w:cs="Times New Roman"/>
          <w:b/>
        </w:rPr>
        <w:t>Tinik Sugiati</w:t>
      </w:r>
      <w:r>
        <w:rPr>
          <w:rFonts w:ascii="Times New Roman" w:hAnsi="Times New Roman" w:cs="Times New Roman"/>
          <w:b/>
          <w:vertAlign w:val="superscript"/>
        </w:rPr>
        <w:t>2</w:t>
      </w:r>
      <w:r w:rsidR="00835421">
        <w:rPr>
          <w:rFonts w:ascii="Times New Roman" w:hAnsi="Times New Roman" w:cs="Times New Roman"/>
          <w:b/>
        </w:rPr>
        <w:t>, Ahmad Juliana</w:t>
      </w:r>
      <w:r w:rsidR="00835421">
        <w:rPr>
          <w:rFonts w:ascii="Times New Roman" w:hAnsi="Times New Roman" w:cs="Times New Roman"/>
          <w:b/>
          <w:vertAlign w:val="superscript"/>
        </w:rPr>
        <w:t>3</w:t>
      </w:r>
    </w:p>
    <w:p w14:paraId="786D7785" w14:textId="78DD3716" w:rsidR="00835421" w:rsidRPr="00835421" w:rsidRDefault="00835421" w:rsidP="005C3B3E">
      <w:pPr>
        <w:jc w:val="center"/>
        <w:rPr>
          <w:rFonts w:ascii="Times New Roman" w:hAnsi="Times New Roman" w:cs="Times New Roman"/>
          <w:sz w:val="22"/>
          <w:szCs w:val="22"/>
        </w:rPr>
      </w:pPr>
      <w:r w:rsidRPr="00835421">
        <w:rPr>
          <w:rFonts w:ascii="Times New Roman" w:hAnsi="Times New Roman" w:cs="Times New Roman"/>
          <w:sz w:val="22"/>
          <w:szCs w:val="22"/>
        </w:rPr>
        <w:t>Program Studi Ilmu Manajemen, Fakultas Ekonomi Universitas Borneo Tarakan</w:t>
      </w:r>
    </w:p>
    <w:p w14:paraId="75736135" w14:textId="353B5A35" w:rsidR="00E125C8" w:rsidRDefault="00835421" w:rsidP="005C3B3E">
      <w:pPr>
        <w:jc w:val="center"/>
        <w:rPr>
          <w:rFonts w:ascii="Times New Roman" w:hAnsi="Times New Roman" w:cs="Times New Roman"/>
          <w:sz w:val="22"/>
          <w:szCs w:val="22"/>
        </w:rPr>
      </w:pPr>
      <w:r w:rsidRPr="00835421">
        <w:rPr>
          <w:rFonts w:ascii="Times New Roman" w:hAnsi="Times New Roman" w:cs="Times New Roman"/>
          <w:sz w:val="22"/>
          <w:szCs w:val="22"/>
        </w:rPr>
        <w:t>Jalan Amal 77115 Tarakan North Kalimantan</w:t>
      </w:r>
    </w:p>
    <w:p w14:paraId="66651C3F" w14:textId="3FED8B52" w:rsidR="00E125C8" w:rsidRDefault="00120321" w:rsidP="005C3B3E">
      <w:pPr>
        <w:tabs>
          <w:tab w:val="left" w:pos="3615"/>
        </w:tabs>
        <w:jc w:val="center"/>
        <w:rPr>
          <w:rFonts w:ascii="Times New Roman" w:hAnsi="Times New Roman" w:cs="Times New Roman"/>
          <w:sz w:val="22"/>
          <w:szCs w:val="22"/>
        </w:rPr>
      </w:pPr>
      <w:r>
        <w:rPr>
          <w:rFonts w:ascii="Times New Roman" w:hAnsi="Times New Roman" w:cs="Times New Roman"/>
          <w:sz w:val="22"/>
          <w:szCs w:val="22"/>
        </w:rPr>
        <w:t xml:space="preserve">E-mail: </w:t>
      </w:r>
      <w:r w:rsidR="00835421">
        <w:rPr>
          <w:rFonts w:ascii="Times New Roman" w:hAnsi="Times New Roman" w:cs="Times New Roman"/>
          <w:sz w:val="22"/>
          <w:szCs w:val="22"/>
        </w:rPr>
        <w:t>kv4b.mail@gmail.com</w:t>
      </w:r>
    </w:p>
    <w:p w14:paraId="4FF98F9A" w14:textId="77777777" w:rsidR="00E125C8" w:rsidRDefault="00E125C8" w:rsidP="005C3B3E">
      <w:pPr>
        <w:rPr>
          <w:rFonts w:ascii="Times New Roman" w:hAnsi="Times New Roman" w:cs="Times New Roman"/>
          <w:sz w:val="20"/>
          <w:szCs w:val="20"/>
        </w:rPr>
      </w:pPr>
    </w:p>
    <w:tbl>
      <w:tblPr>
        <w:tblStyle w:val="a2"/>
        <w:tblW w:w="9356"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3"/>
      </w:tblGrid>
      <w:tr w:rsidR="00E125C8" w14:paraId="583D5539" w14:textId="77777777" w:rsidTr="005C3B3E">
        <w:tc>
          <w:tcPr>
            <w:tcW w:w="3153" w:type="dxa"/>
            <w:tcBorders>
              <w:top w:val="single" w:sz="8" w:space="0" w:color="005426"/>
            </w:tcBorders>
          </w:tcPr>
          <w:p w14:paraId="3406E44F" w14:textId="77777777" w:rsidR="00E125C8" w:rsidRDefault="00120321" w:rsidP="005C3B3E">
            <w:pPr>
              <w:rPr>
                <w:rFonts w:ascii="Times New Roman" w:hAnsi="Times New Roman" w:cs="Times New Roman"/>
                <w:b/>
              </w:rPr>
            </w:pPr>
            <w:r>
              <w:rPr>
                <w:rFonts w:ascii="Times New Roman" w:hAnsi="Times New Roman" w:cs="Times New Roman"/>
                <w:b/>
              </w:rPr>
              <w:t>Article History:</w:t>
            </w:r>
          </w:p>
          <w:p w14:paraId="79E9FFF0" w14:textId="77777777" w:rsidR="005C3B3E" w:rsidRPr="008B4EEE" w:rsidRDefault="005C3B3E" w:rsidP="005C3B3E">
            <w:pPr>
              <w:ind w:left="144" w:hanging="180"/>
              <w:rPr>
                <w:rFonts w:ascii="Times New Roman" w:hAnsi="Times New Roman" w:cs="Times New Roman"/>
              </w:rPr>
            </w:pPr>
            <w:r w:rsidRPr="008B4EEE">
              <w:rPr>
                <w:rFonts w:ascii="Times New Roman" w:hAnsi="Times New Roman" w:cs="Times New Roman"/>
              </w:rPr>
              <w:t xml:space="preserve">Received: </w:t>
            </w:r>
            <w:r>
              <w:rPr>
                <w:rFonts w:ascii="Times New Roman" w:hAnsi="Times New Roman" w:cs="Times New Roman"/>
              </w:rPr>
              <w:t>20</w:t>
            </w:r>
            <w:r w:rsidRPr="008B4EEE">
              <w:rPr>
                <w:rFonts w:ascii="Times New Roman" w:hAnsi="Times New Roman" w:cs="Times New Roman"/>
              </w:rPr>
              <w:t xml:space="preserve"> </w:t>
            </w:r>
            <w:r>
              <w:rPr>
                <w:rFonts w:ascii="Times New Roman" w:hAnsi="Times New Roman" w:cs="Times New Roman"/>
              </w:rPr>
              <w:t>Maret</w:t>
            </w:r>
            <w:r w:rsidRPr="008B4EEE">
              <w:rPr>
                <w:rFonts w:ascii="Times New Roman" w:hAnsi="Times New Roman" w:cs="Times New Roman"/>
              </w:rPr>
              <w:t xml:space="preserve"> 2026</w:t>
            </w:r>
          </w:p>
          <w:p w14:paraId="210C9B4B" w14:textId="77777777" w:rsidR="005C3B3E" w:rsidRPr="008B4EEE" w:rsidRDefault="005C3B3E" w:rsidP="005C3B3E">
            <w:pPr>
              <w:ind w:left="-36"/>
              <w:rPr>
                <w:rFonts w:ascii="Times New Roman" w:hAnsi="Times New Roman" w:cs="Times New Roman"/>
              </w:rPr>
            </w:pPr>
            <w:r w:rsidRPr="008B4EEE">
              <w:rPr>
                <w:rFonts w:ascii="Times New Roman" w:hAnsi="Times New Roman" w:cs="Times New Roman"/>
              </w:rPr>
              <w:t xml:space="preserve">Revised: </w:t>
            </w:r>
            <w:r>
              <w:rPr>
                <w:rFonts w:ascii="Times New Roman" w:hAnsi="Times New Roman" w:cs="Times New Roman"/>
              </w:rPr>
              <w:t>27</w:t>
            </w:r>
            <w:r w:rsidRPr="008B4EEE">
              <w:rPr>
                <w:rFonts w:ascii="Times New Roman" w:hAnsi="Times New Roman" w:cs="Times New Roman"/>
              </w:rPr>
              <w:t xml:space="preserve"> Maret 2026</w:t>
            </w:r>
          </w:p>
          <w:p w14:paraId="069A610F" w14:textId="7BAE3E85" w:rsidR="00E125C8" w:rsidRDefault="005C3B3E" w:rsidP="005C3B3E">
            <w:pPr>
              <w:ind w:left="-36"/>
              <w:rPr>
                <w:rFonts w:ascii="Times New Roman" w:hAnsi="Times New Roman" w:cs="Times New Roman"/>
              </w:rPr>
            </w:pPr>
            <w:r w:rsidRPr="008B4EEE">
              <w:rPr>
                <w:rFonts w:ascii="Times New Roman" w:hAnsi="Times New Roman" w:cs="Times New Roman"/>
              </w:rPr>
              <w:t xml:space="preserve">Accepted: </w:t>
            </w:r>
            <w:r>
              <w:rPr>
                <w:rFonts w:ascii="Times New Roman" w:hAnsi="Times New Roman" w:cs="Times New Roman"/>
              </w:rPr>
              <w:t>05 April</w:t>
            </w:r>
            <w:r w:rsidRPr="008B4EEE">
              <w:rPr>
                <w:rFonts w:ascii="Times New Roman" w:hAnsi="Times New Roman" w:cs="Times New Roman"/>
              </w:rPr>
              <w:t xml:space="preserve"> 2026</w:t>
            </w:r>
          </w:p>
          <w:p w14:paraId="6B8A3C23" w14:textId="77777777" w:rsidR="00E125C8" w:rsidRDefault="00E125C8" w:rsidP="005C3B3E">
            <w:pPr>
              <w:rPr>
                <w:rFonts w:ascii="Times New Roman" w:hAnsi="Times New Roman" w:cs="Times New Roman"/>
                <w:b/>
              </w:rPr>
            </w:pPr>
          </w:p>
          <w:p w14:paraId="3131F3B1" w14:textId="77777777" w:rsidR="00E125C8" w:rsidRDefault="00E125C8" w:rsidP="005C3B3E">
            <w:pPr>
              <w:rPr>
                <w:rFonts w:ascii="Times New Roman" w:hAnsi="Times New Roman" w:cs="Times New Roman"/>
                <w:b/>
              </w:rPr>
            </w:pPr>
          </w:p>
        </w:tc>
        <w:tc>
          <w:tcPr>
            <w:tcW w:w="430" w:type="dxa"/>
            <w:vMerge w:val="restart"/>
            <w:tcBorders>
              <w:top w:val="single" w:sz="8" w:space="0" w:color="005426"/>
            </w:tcBorders>
          </w:tcPr>
          <w:p w14:paraId="645E9335" w14:textId="77777777" w:rsidR="00E125C8" w:rsidRDefault="00E125C8" w:rsidP="005C3B3E">
            <w:pPr>
              <w:rPr>
                <w:rFonts w:ascii="Times New Roman" w:hAnsi="Times New Roman" w:cs="Times New Roman"/>
                <w:b/>
              </w:rPr>
            </w:pPr>
          </w:p>
        </w:tc>
        <w:tc>
          <w:tcPr>
            <w:tcW w:w="5773" w:type="dxa"/>
            <w:vMerge w:val="restart"/>
            <w:tcBorders>
              <w:top w:val="single" w:sz="8" w:space="0" w:color="005426"/>
            </w:tcBorders>
          </w:tcPr>
          <w:p w14:paraId="1B424427" w14:textId="18FE1C11" w:rsidR="00E125C8" w:rsidRDefault="00120321" w:rsidP="005C3B3E">
            <w:pPr>
              <w:pBdr>
                <w:top w:val="nil"/>
                <w:left w:val="nil"/>
                <w:bottom w:val="nil"/>
                <w:right w:val="nil"/>
                <w:between w:val="nil"/>
              </w:pBdr>
              <w:jc w:val="both"/>
              <w:rPr>
                <w:rFonts w:ascii="Times New Roman" w:hAnsi="Times New Roman" w:cs="Times New Roman"/>
                <w:i/>
              </w:rPr>
            </w:pPr>
            <w:r>
              <w:rPr>
                <w:rFonts w:ascii="Times New Roman" w:hAnsi="Times New Roman" w:cs="Times New Roman"/>
                <w:b/>
                <w:i/>
              </w:rPr>
              <w:t xml:space="preserve">Abstract: </w:t>
            </w:r>
            <w:r w:rsidR="001A27A2" w:rsidRPr="001A27A2">
              <w:rPr>
                <w:rFonts w:ascii="Times New Roman" w:hAnsi="Times New Roman" w:cs="Times New Roman"/>
                <w:i/>
              </w:rPr>
              <w:t>The Resource-Based View (RBV) has long been a central framework for explaining firm performance heterogeneity, yet its static assumptions have been increasingly challenged by dynamic, digital, and sustainability-driven business environments. This study aims to systematically map the intellectual structure, thematic evolution, and key contributors of RBV research related to firm performance during the 2010–2025 period using a bibliometric approach. Drawing on 114 peer-reviewed journal articles retrieved from the Scopus database, the analysis employs VOSviewer and Bibliometrix to examine publication trends, leading sources, countries, institutions, influential authors, and keyword co-occurrence patterns. The findings reveal a significant resurgence of RBV research after 2018, accompanied by a clear shift from a focus on VRIN resources toward dynamic capabilities, sustainability-oriented resources, human capital, and stakeholder integration. Co-occurrence analysis further highlights the growing prominence of green innovation, ESG, and institutional contexts as strategic resources shaping firm performance. Overall, the study demonstrates that RBV has evolved into a more dynamic, sustainability-oriented, and context-sensitive framework, offering valuable insights for scholars and practitioners seeking to understand competitive advantage in complex and uncertain environments</w:t>
            </w:r>
          </w:p>
        </w:tc>
      </w:tr>
      <w:tr w:rsidR="00E125C8" w14:paraId="0302F1AE" w14:textId="77777777" w:rsidTr="005C3B3E">
        <w:trPr>
          <w:trHeight w:val="1125"/>
        </w:trPr>
        <w:tc>
          <w:tcPr>
            <w:tcW w:w="3153" w:type="dxa"/>
            <w:tcBorders>
              <w:bottom w:val="single" w:sz="4" w:space="0" w:color="auto"/>
            </w:tcBorders>
          </w:tcPr>
          <w:p w14:paraId="43FB495E" w14:textId="6008EDB6" w:rsidR="00E125C8" w:rsidRDefault="00120321" w:rsidP="005C3B3E">
            <w:pPr>
              <w:rPr>
                <w:rFonts w:ascii="Times New Roman" w:hAnsi="Times New Roman" w:cs="Times New Roman"/>
                <w:b/>
              </w:rPr>
            </w:pPr>
            <w:r>
              <w:rPr>
                <w:rFonts w:ascii="Times New Roman" w:hAnsi="Times New Roman" w:cs="Times New Roman"/>
                <w:b/>
              </w:rPr>
              <w:t xml:space="preserve">Keywords: </w:t>
            </w:r>
            <w:r w:rsidR="001A27A2" w:rsidRPr="001A27A2">
              <w:rPr>
                <w:rFonts w:ascii="Times New Roman" w:hAnsi="Times New Roman" w:cs="Times New Roman"/>
                <w:i/>
              </w:rPr>
              <w:t>Resource-Based View; Firm Performance; Bibliometric Analysis; Dynamic Capabilities; Sustainability; Strategic Management</w:t>
            </w:r>
          </w:p>
        </w:tc>
        <w:tc>
          <w:tcPr>
            <w:tcW w:w="430" w:type="dxa"/>
            <w:vMerge/>
            <w:tcBorders>
              <w:top w:val="single" w:sz="8" w:space="0" w:color="005426"/>
              <w:bottom w:val="single" w:sz="4" w:space="0" w:color="auto"/>
            </w:tcBorders>
          </w:tcPr>
          <w:p w14:paraId="1A3A76F0" w14:textId="77777777" w:rsidR="00E125C8" w:rsidRDefault="00E125C8" w:rsidP="005C3B3E">
            <w:pPr>
              <w:pBdr>
                <w:top w:val="nil"/>
                <w:left w:val="nil"/>
                <w:bottom w:val="nil"/>
                <w:right w:val="nil"/>
                <w:between w:val="nil"/>
              </w:pBdr>
              <w:rPr>
                <w:rFonts w:ascii="Times New Roman" w:hAnsi="Times New Roman" w:cs="Times New Roman"/>
                <w:b/>
              </w:rPr>
            </w:pPr>
          </w:p>
        </w:tc>
        <w:tc>
          <w:tcPr>
            <w:tcW w:w="5773" w:type="dxa"/>
            <w:vMerge/>
            <w:tcBorders>
              <w:top w:val="single" w:sz="8" w:space="0" w:color="005426"/>
              <w:bottom w:val="single" w:sz="4" w:space="0" w:color="auto"/>
            </w:tcBorders>
          </w:tcPr>
          <w:p w14:paraId="4FF19C38" w14:textId="77777777" w:rsidR="00E125C8" w:rsidRDefault="00E125C8" w:rsidP="005C3B3E">
            <w:pPr>
              <w:pBdr>
                <w:top w:val="nil"/>
                <w:left w:val="nil"/>
                <w:bottom w:val="nil"/>
                <w:right w:val="nil"/>
                <w:between w:val="nil"/>
              </w:pBdr>
              <w:rPr>
                <w:rFonts w:ascii="Times New Roman" w:hAnsi="Times New Roman" w:cs="Times New Roman"/>
                <w:b/>
              </w:rPr>
            </w:pPr>
          </w:p>
        </w:tc>
      </w:tr>
    </w:tbl>
    <w:p w14:paraId="22FE51D1" w14:textId="77777777" w:rsidR="00E125C8" w:rsidRDefault="00E125C8" w:rsidP="005C3B3E">
      <w:pPr>
        <w:jc w:val="both"/>
        <w:rPr>
          <w:rFonts w:ascii="Times New Roman" w:hAnsi="Times New Roman" w:cs="Times New Roman"/>
          <w:b/>
        </w:rPr>
      </w:pPr>
    </w:p>
    <w:p w14:paraId="11957BD9" w14:textId="6ABF0ECF" w:rsidR="00E125C8" w:rsidRDefault="00120321" w:rsidP="005C3B3E">
      <w:pPr>
        <w:rPr>
          <w:rFonts w:ascii="Times New Roman" w:hAnsi="Times New Roman" w:cs="Times New Roman"/>
          <w:b/>
          <w:sz w:val="26"/>
          <w:szCs w:val="26"/>
        </w:rPr>
      </w:pPr>
      <w:r>
        <w:rPr>
          <w:rFonts w:ascii="Times New Roman" w:hAnsi="Times New Roman" w:cs="Times New Roman"/>
          <w:b/>
          <w:sz w:val="26"/>
          <w:szCs w:val="26"/>
        </w:rPr>
        <w:t>PENDAHULUAN</w:t>
      </w:r>
    </w:p>
    <w:p w14:paraId="415A1BF1"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Resource-Based View (RBV) telah lama menjadi kerangka teoretis utama dalam manajemen strategis untuk menjelaskan perbedaan kinerja antarperusahaan. Berakar dari gagasan awal Penrose (1959) dan kemudian diformalkan oleh Barney (1991), RBV menyatakan bahwa keunggulan kompetitif berkelanjutan dapat dicapai apabila perusahaan memiliki sumber daya yang bernilai, langka, sulit ditiru, dan tidak dapat disubstitusi (valuable, rare, inimitable, and non-substitutable/VRIN). Selama lebih dari tiga dekade, perspektif ini banyak digunakan untuk menjelaskan variasi kinerja perusahaan di berbagai industri dan konteks kelembagaan. Namun, meningkatnya kompleksitas lingkungan bisnis, percepatan transformasi digital, serta tekanan keberlanjutan telah mendorong minat akademik untuk meninjau kembali daya jelaskan RBV, khususnya melalui pendekatan analisis bibliometrik berskala besar.</w:t>
      </w:r>
    </w:p>
    <w:p w14:paraId="38EECD95"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lastRenderedPageBreak/>
        <w:t>Secara empiris, kinerja perusahaan tetap menjadi variabel hasil utama dalam penelitian manajemen dan keuangan. Bukti bibliometrik terbaru menunjukkan bahwa jumlah studi yang mengaitkan RBV dengan kinerja perusahaan meningkat signifikan sejak 2010, dengan lonjakan yang jelas setelah 2018. Hal ini mencerminkan relevansi RBV yang kembali menguat dalam konteks kapabilitas dinamis, aset berbasis pengetahuan, dan sumber daya yang berorientasi pada ESG (Ferreira et al., 2022). Analisis berbasis Scopus menunjukkan bahwa lebih dari 60% publikasi RBV dalam lima tahun terakhir secara eksplisit memasukkan indikator kinerja seperti kinerja keuangan, output inovasi, atau produktivitas, yang menandakan dominasi pendekatan RBV yang berfokus pada kinerja (Vrontis et al., 2021). Temuan ini sekaligus menunjukkan tingkat kematangan dan fragmentasi literatur yang semakin tinggi.</w:t>
      </w:r>
    </w:p>
    <w:p w14:paraId="3C51AF96"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Meskipun populer, penelitian RBV terkait kinerja perusahaan masih menghadapi sejumlah permasalahan yang belum terselesaikan. Pertama, RBV tradisional sering dikritik bersifat statis dan kurang memadai untuk menjelaskan kinerja dalam lingkungan yang berubah dengan cepat (Teece, 2018). Kritik ini memicu munculnya perluasan konseptual seperti kapabilitas dinamis dan pandangan berbasis pengetahuan, meskipun integrasinya dalam studi empiris RBV masih belum konsisten. Kedua, hasil empiris mengenai hubungan RBV–kinerja menunjukkan temuan yang beragam, yang sebagian disebabkan oleh perbedaan dalam operasionalisasi sumber daya (misalnya aset tidak berwujud, modal manusia, dan modal relasional) serta pengukuran kinerja (berbasis akuntansi versus berbasis pasar). Ketiga, sebagian besar bukti empiris masih terkonsentrasi di negara maju, sehingga membatasi generalisasi temuan ke konteks negara berkembang (Hitt et al., 2020).</w:t>
      </w:r>
    </w:p>
    <w:p w14:paraId="24C9DAE5"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Berbagai tantangan tersebut mendorong perlunya analisis bibliometrik yang komprehensif dalam rentang waktu 15 tahun terakhir. Metode bibliometrik memungkinkan pemetaan sistematis atas struktur intelektual, evolusi tema, penulis berpengaruh, serta tren metodologis dalam literatur RBV dan kinerja perusahaan. Penelitian terkini menunjukkan bahwa analisis bibliometrik sangat efektif dalam mengidentifikasi klaster riset tersembunyi dan tema yang masih kurang dieksplorasi, seperti peran sumber daya digital, kapabilitas berorientasi keberlanjutan, dan kontingensi kelembagaan (Donthu et al., 2021). Namun demikian, tinjauan bibliometrik yang ada cenderung terlalu luas atau justru terlalu sempit, sehingga menyisakan ruang bagi analisis longitudinal yang secara spesifik berfokus pada RBV dan kinerja perusahaan.</w:t>
      </w:r>
    </w:p>
    <w:p w14:paraId="6EDF4F04"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Kontribusi utama penelitian ini terletak pada implikasinya bagi teori dan praktik. Secara teoretis, analisis bibliometrik selama 15 tahun dapat menjelaskan bagaimana RBV berevolusi, mengidentifikasi konstruk sumber daya yang dominan dan berkembang, serta mengungkap perubahan dalam pendekatan pengukuran kinerja. Secara praktis, temuan penelitian ini dapat memberikan panduan bagi manajer dan pembuat kebijakan mengenai jenis sumber daya perusahaan yang secara konsisten berkontribusi terhadap peningkatan kinerja di berbagai konteks. Dengan mengintegrasikan fondasi klasik RBV dan perkembangan empiris serta metodologis terkini, penelitian ini diharapkan memberikan kontribusi yang relevan dan tepat waktu bagi literatur manajemen strategis dan kinerja perusahaan.</w:t>
      </w:r>
    </w:p>
    <w:p w14:paraId="07E745C4"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Tujuan penelitian ini adalah untuk menutup kesenjangan riset dengan memetakan secara sistematis tren dan kontribusi penelitian Resource-Based View pada periode 2010–2025 menggunakan pendekatan bibliometrik. Berdasarkan tujuan tersebut, pertanyaan penelitian dirumuskan sebagai berikut:</w:t>
      </w:r>
    </w:p>
    <w:p w14:paraId="4E6C26AD" w14:textId="1ED22775" w:rsidR="0054357F" w:rsidRPr="0054357F" w:rsidRDefault="0054357F" w:rsidP="005C3B3E">
      <w:pPr>
        <w:pStyle w:val="ListParagraph"/>
        <w:numPr>
          <w:ilvl w:val="0"/>
          <w:numId w:val="2"/>
        </w:numPr>
        <w:pBdr>
          <w:top w:val="nil"/>
          <w:left w:val="nil"/>
          <w:bottom w:val="nil"/>
          <w:right w:val="nil"/>
          <w:between w:val="nil"/>
        </w:pBdr>
        <w:ind w:left="284" w:hanging="284"/>
        <w:jc w:val="both"/>
        <w:rPr>
          <w:rFonts w:ascii="Times New Roman" w:hAnsi="Times New Roman" w:cs="Times New Roman"/>
        </w:rPr>
      </w:pPr>
      <w:r w:rsidRPr="0054357F">
        <w:rPr>
          <w:rFonts w:ascii="Times New Roman" w:hAnsi="Times New Roman" w:cs="Times New Roman"/>
        </w:rPr>
        <w:t>Bagaimana tren jumlah publikasi tahunan terkait Resource-Based View selama periode 2010–2025?</w:t>
      </w:r>
    </w:p>
    <w:p w14:paraId="261496B6" w14:textId="5013C996" w:rsidR="0054357F" w:rsidRPr="0054357F" w:rsidRDefault="0054357F" w:rsidP="005C3B3E">
      <w:pPr>
        <w:pStyle w:val="ListParagraph"/>
        <w:numPr>
          <w:ilvl w:val="0"/>
          <w:numId w:val="2"/>
        </w:numPr>
        <w:pBdr>
          <w:top w:val="nil"/>
          <w:left w:val="nil"/>
          <w:bottom w:val="nil"/>
          <w:right w:val="nil"/>
          <w:between w:val="nil"/>
        </w:pBdr>
        <w:ind w:left="284" w:hanging="284"/>
        <w:jc w:val="both"/>
        <w:rPr>
          <w:rFonts w:ascii="Times New Roman" w:hAnsi="Times New Roman" w:cs="Times New Roman"/>
        </w:rPr>
      </w:pPr>
      <w:r w:rsidRPr="0054357F">
        <w:rPr>
          <w:rFonts w:ascii="Times New Roman" w:hAnsi="Times New Roman" w:cs="Times New Roman"/>
        </w:rPr>
        <w:t>Apa saja sepuluh sumber akademik teratas yang paling banyak mempublikasikan penelitian tentang Resource-Based View?</w:t>
      </w:r>
    </w:p>
    <w:p w14:paraId="7EE6921D" w14:textId="7F090B6C" w:rsidR="0054357F" w:rsidRPr="0054357F" w:rsidRDefault="0054357F" w:rsidP="005C3B3E">
      <w:pPr>
        <w:pStyle w:val="ListParagraph"/>
        <w:numPr>
          <w:ilvl w:val="0"/>
          <w:numId w:val="2"/>
        </w:numPr>
        <w:pBdr>
          <w:top w:val="nil"/>
          <w:left w:val="nil"/>
          <w:bottom w:val="nil"/>
          <w:right w:val="nil"/>
          <w:between w:val="nil"/>
        </w:pBdr>
        <w:ind w:left="284" w:hanging="284"/>
        <w:jc w:val="both"/>
        <w:rPr>
          <w:rFonts w:ascii="Times New Roman" w:hAnsi="Times New Roman" w:cs="Times New Roman"/>
        </w:rPr>
      </w:pPr>
      <w:r w:rsidRPr="0054357F">
        <w:rPr>
          <w:rFonts w:ascii="Times New Roman" w:hAnsi="Times New Roman" w:cs="Times New Roman"/>
        </w:rPr>
        <w:lastRenderedPageBreak/>
        <w:t>Negara mana saja yang termasuk dalam sepuluh kontributor utama penelitian Resource-Based View?</w:t>
      </w:r>
    </w:p>
    <w:p w14:paraId="6E80661B" w14:textId="295B4DD7" w:rsidR="0054357F" w:rsidRPr="0054357F" w:rsidRDefault="0054357F" w:rsidP="005C3B3E">
      <w:pPr>
        <w:pStyle w:val="ListParagraph"/>
        <w:numPr>
          <w:ilvl w:val="0"/>
          <w:numId w:val="2"/>
        </w:numPr>
        <w:pBdr>
          <w:top w:val="nil"/>
          <w:left w:val="nil"/>
          <w:bottom w:val="nil"/>
          <w:right w:val="nil"/>
          <w:between w:val="nil"/>
        </w:pBdr>
        <w:ind w:left="284" w:hanging="284"/>
        <w:jc w:val="both"/>
        <w:rPr>
          <w:rFonts w:ascii="Times New Roman" w:hAnsi="Times New Roman" w:cs="Times New Roman"/>
        </w:rPr>
      </w:pPr>
      <w:r w:rsidRPr="0054357F">
        <w:rPr>
          <w:rFonts w:ascii="Times New Roman" w:hAnsi="Times New Roman" w:cs="Times New Roman"/>
        </w:rPr>
        <w:t>Afiliasi atau institusi akademik mana yang paling aktif dalam penelitian Resource-Based View?</w:t>
      </w:r>
    </w:p>
    <w:p w14:paraId="4EDA1883" w14:textId="14AF9CEA" w:rsidR="0054357F" w:rsidRPr="0054357F" w:rsidRDefault="0054357F" w:rsidP="005C3B3E">
      <w:pPr>
        <w:pStyle w:val="ListParagraph"/>
        <w:numPr>
          <w:ilvl w:val="0"/>
          <w:numId w:val="2"/>
        </w:numPr>
        <w:pBdr>
          <w:top w:val="nil"/>
          <w:left w:val="nil"/>
          <w:bottom w:val="nil"/>
          <w:right w:val="nil"/>
          <w:between w:val="nil"/>
        </w:pBdr>
        <w:ind w:left="284" w:hanging="284"/>
        <w:jc w:val="both"/>
        <w:rPr>
          <w:rFonts w:ascii="Times New Roman" w:hAnsi="Times New Roman" w:cs="Times New Roman"/>
        </w:rPr>
      </w:pPr>
      <w:r w:rsidRPr="0054357F">
        <w:rPr>
          <w:rFonts w:ascii="Times New Roman" w:hAnsi="Times New Roman" w:cs="Times New Roman"/>
        </w:rPr>
        <w:t>Siapa sepuluh penulis paling berpengaruh dalam bidang Resource-Based View berdasarkan jumlah sitasi?</w:t>
      </w:r>
    </w:p>
    <w:p w14:paraId="2EBCF1CD" w14:textId="106AC289" w:rsidR="00E125C8" w:rsidRPr="0054357F" w:rsidRDefault="0054357F" w:rsidP="005C3B3E">
      <w:pPr>
        <w:pStyle w:val="ListParagraph"/>
        <w:numPr>
          <w:ilvl w:val="0"/>
          <w:numId w:val="2"/>
        </w:numPr>
        <w:pBdr>
          <w:top w:val="nil"/>
          <w:left w:val="nil"/>
          <w:bottom w:val="nil"/>
          <w:right w:val="nil"/>
          <w:between w:val="nil"/>
        </w:pBdr>
        <w:ind w:left="284" w:hanging="284"/>
        <w:jc w:val="both"/>
        <w:rPr>
          <w:rFonts w:ascii="Times New Roman" w:hAnsi="Times New Roman" w:cs="Times New Roman"/>
        </w:rPr>
      </w:pPr>
      <w:r w:rsidRPr="0054357F">
        <w:rPr>
          <w:rFonts w:ascii="Times New Roman" w:hAnsi="Times New Roman" w:cs="Times New Roman"/>
        </w:rPr>
        <w:t xml:space="preserve">Apa saja tema riset dominan dan bagaimana keterkaitannya, khususnya antara Resource-Based View dan kinerja perusahaan, berdasarkan analisis </w:t>
      </w:r>
      <w:r w:rsidR="00835421" w:rsidRPr="00835421">
        <w:rPr>
          <w:rFonts w:ascii="Times New Roman" w:hAnsi="Times New Roman" w:cs="Times New Roman"/>
          <w:i/>
        </w:rPr>
        <w:t>co-occurence</w:t>
      </w:r>
      <w:r w:rsidRPr="0054357F">
        <w:rPr>
          <w:rFonts w:ascii="Times New Roman" w:hAnsi="Times New Roman" w:cs="Times New Roman"/>
        </w:rPr>
        <w:t xml:space="preserve"> kata kunci?</w:t>
      </w:r>
    </w:p>
    <w:p w14:paraId="21950145" w14:textId="77777777" w:rsidR="00E125C8" w:rsidRDefault="00E125C8" w:rsidP="005C3B3E">
      <w:pPr>
        <w:pBdr>
          <w:top w:val="nil"/>
          <w:left w:val="nil"/>
          <w:bottom w:val="nil"/>
          <w:right w:val="nil"/>
          <w:between w:val="nil"/>
        </w:pBdr>
        <w:tabs>
          <w:tab w:val="left" w:pos="4140"/>
        </w:tabs>
        <w:rPr>
          <w:rFonts w:ascii="Times New Roman" w:hAnsi="Times New Roman" w:cs="Times New Roman"/>
          <w:b/>
        </w:rPr>
      </w:pPr>
    </w:p>
    <w:p w14:paraId="62F3B6DA" w14:textId="4F531111" w:rsidR="00E125C8" w:rsidRDefault="00120321" w:rsidP="005C3B3E">
      <w:pPr>
        <w:jc w:val="both"/>
        <w:rPr>
          <w:rFonts w:ascii="Times New Roman" w:hAnsi="Times New Roman" w:cs="Times New Roman"/>
          <w:b/>
        </w:rPr>
      </w:pPr>
      <w:r>
        <w:rPr>
          <w:rFonts w:ascii="Times New Roman" w:hAnsi="Times New Roman" w:cs="Times New Roman"/>
          <w:b/>
        </w:rPr>
        <w:t>METODE PENELITIAN</w:t>
      </w:r>
    </w:p>
    <w:p w14:paraId="05BF58E9" w14:textId="172DFC5B" w:rsidR="0054357F" w:rsidRDefault="0054357F" w:rsidP="005C3B3E">
      <w:pPr>
        <w:jc w:val="both"/>
        <w:rPr>
          <w:rFonts w:ascii="Times New Roman" w:hAnsi="Times New Roman" w:cs="Times New Roman"/>
          <w:b/>
        </w:rPr>
      </w:pPr>
      <w:r>
        <w:rPr>
          <w:rFonts w:ascii="Times New Roman" w:hAnsi="Times New Roman" w:cs="Times New Roman"/>
          <w:b/>
        </w:rPr>
        <w:t>Sumber Basis Data</w:t>
      </w:r>
    </w:p>
    <w:p w14:paraId="3ABAB41E" w14:textId="1CB93266" w:rsidR="00E125C8"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 xml:space="preserve">Penelitian ini menggunakan basis data Scopus, yang dikenal luas sebagai salah satu sumber akademik paling komprehensif dan andal untuk analisis bibliometrik. Scopus mencakup lebih dari 49.401 jurnal bereputasi tinggi dari berbagai bidang ilmu dan menyediakan metadata sitasi yang konsisten, sehingga banyak digunakan dalam studi pemetaan ilmiah dengan perangkat lunak VOSviewer (Donthu et al., 2021; van Eck &amp; Waltman, 2010). Penelusuran literatur dilakukan melalui fitur advanced search untuk mengidentifikasi artikel yang dipublikasikan dalam rentang waktu 2010 hingga 7 </w:t>
      </w:r>
      <w:r w:rsidR="00A70F43">
        <w:rPr>
          <w:rFonts w:ascii="Times New Roman" w:hAnsi="Times New Roman" w:cs="Times New Roman"/>
        </w:rPr>
        <w:t>Januari</w:t>
      </w:r>
      <w:r w:rsidRPr="0054357F">
        <w:rPr>
          <w:rFonts w:ascii="Times New Roman" w:hAnsi="Times New Roman" w:cs="Times New Roman"/>
        </w:rPr>
        <w:t xml:space="preserve"> 2026. Seluruh dokumen yang memenuhi kriteria inklusi diekspor dalam format plain text, termasuk full records dan cited references, guna memastikan kompatibilitas dengan prosedur analisis bibliometrik yang digunakan</w:t>
      </w:r>
      <w:r>
        <w:rPr>
          <w:rFonts w:ascii="Times New Roman" w:hAnsi="Times New Roman" w:cs="Times New Roman"/>
        </w:rPr>
        <w:t>.</w:t>
      </w:r>
    </w:p>
    <w:p w14:paraId="21794B29" w14:textId="77777777" w:rsidR="0054357F" w:rsidRDefault="0054357F" w:rsidP="005C3B3E">
      <w:pPr>
        <w:pBdr>
          <w:top w:val="nil"/>
          <w:left w:val="nil"/>
          <w:bottom w:val="nil"/>
          <w:right w:val="nil"/>
          <w:between w:val="nil"/>
        </w:pBdr>
        <w:ind w:firstLine="567"/>
        <w:jc w:val="both"/>
        <w:rPr>
          <w:rFonts w:ascii="Times New Roman" w:hAnsi="Times New Roman" w:cs="Times New Roman"/>
        </w:rPr>
      </w:pPr>
    </w:p>
    <w:p w14:paraId="4A7ACF32" w14:textId="4D7ED429" w:rsidR="0054357F" w:rsidRDefault="0054357F" w:rsidP="005C3B3E">
      <w:pPr>
        <w:jc w:val="both"/>
        <w:rPr>
          <w:rFonts w:ascii="Times New Roman" w:hAnsi="Times New Roman" w:cs="Times New Roman"/>
          <w:b/>
        </w:rPr>
      </w:pPr>
      <w:r>
        <w:rPr>
          <w:rFonts w:ascii="Times New Roman" w:hAnsi="Times New Roman" w:cs="Times New Roman"/>
          <w:b/>
        </w:rPr>
        <w:t>Strategi Pencarian</w:t>
      </w:r>
    </w:p>
    <w:p w14:paraId="0A8C7BEC" w14:textId="1C1331A5"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Kami melakukan penelusuran literatur pada basis data Scopus dengan menggunakan rumus pencarian berikut: Title ( ( "Resource-Based View" Or "Rbv" Or "Resource-Based Theory" Or "Resource Based View" Or "Resource-Based View (Rbv)" ) And ( "Smes" Or "Firm" Or "Organization" ) ) And ( Limit-To ( Pubstage , "Final" ) ) And ( Limit-To ( Doctype , "Ar" ) ) And ( Limit-To ( Pubyear , 2010 ) Or Limit-To ( Pubyear , 2011 ) Or Limit-To ( Pubyear , 2012 ) Or Limit-To ( Pubyear , 2013 ) Or Limit-To ( Pubyear , 2014 ) Or Limit-To ( Pubyear , 2015 ) Or Limit-To ( Pubyear , 2016 ) Or Limit-To ( Pubyear , 2017 ) Or Limit-To ( Pubyear , 2018 ) Or Limit-To ( Pubyear , 2019 ) Or Limit-To ( Pubyear , 2020 ) Or Limit-To ( Pubyear , 2021 ) Or Limit-To ( Pubyear , 2022 ) Or Limit-To ( Pubyear , 2023 ) Or Limit-To ( Pubyear , 2024 ) Or Limit-To ( Pubyear , 2025 ) ) And ( Limit-To ( Language , "English" ) ).</w:t>
      </w:r>
    </w:p>
    <w:p w14:paraId="484D3B73" w14:textId="77777777" w:rsidR="0054357F" w:rsidRDefault="0054357F" w:rsidP="005C3B3E">
      <w:pPr>
        <w:pBdr>
          <w:top w:val="nil"/>
          <w:left w:val="nil"/>
          <w:bottom w:val="nil"/>
          <w:right w:val="nil"/>
          <w:between w:val="nil"/>
        </w:pBdr>
        <w:ind w:firstLine="567"/>
        <w:jc w:val="both"/>
        <w:rPr>
          <w:rFonts w:ascii="Times New Roman" w:hAnsi="Times New Roman" w:cs="Times New Roman"/>
        </w:rPr>
      </w:pPr>
    </w:p>
    <w:p w14:paraId="55EE73E8" w14:textId="77777777" w:rsidR="0054357F" w:rsidRDefault="0054357F" w:rsidP="005C3B3E">
      <w:pPr>
        <w:jc w:val="both"/>
        <w:rPr>
          <w:rFonts w:ascii="Times New Roman" w:hAnsi="Times New Roman" w:cs="Times New Roman"/>
          <w:b/>
        </w:rPr>
      </w:pPr>
      <w:r>
        <w:rPr>
          <w:rFonts w:ascii="Times New Roman" w:hAnsi="Times New Roman" w:cs="Times New Roman"/>
          <w:b/>
        </w:rPr>
        <w:t>Strategi Pencarian</w:t>
      </w:r>
    </w:p>
    <w:p w14:paraId="79DAC8CD"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Strategi pencarian awal menghasilkan sebanyak 174 dokumen. Penelitian ini memiliki keterbatasan karena hanya mencakup artikel hasil penelitian (research articles) dan dibatasi pada publikasi berbahasa Inggris. Selanjutnya, seluruh dokumen yang diperoleh diseleksi secara manual dengan meninjau judul dan topik artikel untuk memastikan relevansinya dengan istilah “resource-based view”. Apabila informasi yang tersedia pada judul dan abstrak belum memadai untuk menentukan kelayakan, maka dilakukan evaluasi teks lengkap (full-text review).</w:t>
      </w:r>
    </w:p>
    <w:p w14:paraId="4B21EC8B" w14:textId="59565655"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Setelah penerapan kriteria inklusi dan eksklusi melalui rumus pencarian yang digunakan, jumlah artikel yang memenuhi syarat berkurang menjadi 114 artikel. Setiap perbedaan penilaian dalam proses seleksi diselesaikan melalui diskusi dan kesepakatan bersama (arbitration), sehingga diperoleh kumpulan artikel akhir yang konsisten dan relevan untuk dianalisis. Prosedur penyaringan data secara keseluruhan disajikan secara ringkas dalam Gambar 1, yang menggambarkan alur pengumpulan dan seleksi dokumen penelitian. Pendekatan penyaringan ini sejalan dengan praktik standar dalam studi bibliometrik untuk memastikan transparansi dan replikabilitas proses seleksi literatur (Donthu et al., 2021).</w:t>
      </w:r>
    </w:p>
    <w:p w14:paraId="279CC475" w14:textId="4E52352C" w:rsidR="00E125C8" w:rsidRDefault="00E125C8" w:rsidP="005C3B3E">
      <w:pPr>
        <w:jc w:val="both"/>
        <w:rPr>
          <w:rFonts w:ascii="Times New Roman" w:hAnsi="Times New Roman" w:cs="Times New Roman"/>
        </w:rPr>
      </w:pPr>
    </w:p>
    <w:p w14:paraId="44298303" w14:textId="2BAD6017" w:rsidR="00E125C8" w:rsidRDefault="00902D97" w:rsidP="005C3B3E">
      <w:pPr>
        <w:jc w:val="center"/>
        <w:rPr>
          <w:rFonts w:ascii="Times New Roman" w:hAnsi="Times New Roman" w:cs="Times New Roman"/>
        </w:rPr>
      </w:pPr>
      <w:r>
        <w:rPr>
          <w:rFonts w:ascii="Times New Roman" w:hAnsi="Times New Roman" w:cs="Times New Roman"/>
          <w:noProof/>
          <w:lang w:eastAsia="en-US"/>
        </w:rPr>
        <w:drawing>
          <wp:inline distT="0" distB="0" distL="0" distR="0" wp14:anchorId="0BBD98F8" wp14:editId="3839D7F8">
            <wp:extent cx="5972175" cy="3166110"/>
            <wp:effectExtent l="0" t="0" r="9525" b="0"/>
            <wp:docPr id="44783134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31349" name="Picture 447831349"/>
                    <pic:cNvPicPr/>
                  </pic:nvPicPr>
                  <pic:blipFill>
                    <a:blip r:embed="rId8">
                      <a:extLst>
                        <a:ext uri="{28A0092B-C50C-407E-A947-70E740481C1C}">
                          <a14:useLocalDpi xmlns:a14="http://schemas.microsoft.com/office/drawing/2010/main" val="0"/>
                        </a:ext>
                      </a:extLst>
                    </a:blip>
                    <a:stretch>
                      <a:fillRect/>
                    </a:stretch>
                  </pic:blipFill>
                  <pic:spPr>
                    <a:xfrm>
                      <a:off x="0" y="0"/>
                      <a:ext cx="5972175" cy="3166110"/>
                    </a:xfrm>
                    <a:prstGeom prst="rect">
                      <a:avLst/>
                    </a:prstGeom>
                  </pic:spPr>
                </pic:pic>
              </a:graphicData>
            </a:graphic>
          </wp:inline>
        </w:drawing>
      </w:r>
    </w:p>
    <w:p w14:paraId="0793E103" w14:textId="1E218F40" w:rsidR="00E125C8" w:rsidRDefault="00120321" w:rsidP="005C3B3E">
      <w:pPr>
        <w:jc w:val="center"/>
        <w:rPr>
          <w:rFonts w:ascii="Times New Roman" w:hAnsi="Times New Roman" w:cs="Times New Roman"/>
          <w:b/>
        </w:rPr>
      </w:pPr>
      <w:r>
        <w:rPr>
          <w:rFonts w:ascii="Times New Roman" w:hAnsi="Times New Roman" w:cs="Times New Roman"/>
          <w:b/>
        </w:rPr>
        <w:t xml:space="preserve">Gambar 1. </w:t>
      </w:r>
      <w:r w:rsidR="0054357F" w:rsidRPr="0054357F">
        <w:rPr>
          <w:rFonts w:ascii="Times New Roman" w:hAnsi="Times New Roman" w:cs="Times New Roman"/>
          <w:b/>
        </w:rPr>
        <w:t>Bagan Alir Pengumpulan Data pada Topik Resource-Based View</w:t>
      </w:r>
    </w:p>
    <w:p w14:paraId="04D47A6E" w14:textId="77777777" w:rsidR="0054357F" w:rsidRDefault="0054357F" w:rsidP="005C3B3E">
      <w:pPr>
        <w:jc w:val="both"/>
        <w:rPr>
          <w:rFonts w:ascii="Times New Roman" w:hAnsi="Times New Roman" w:cs="Times New Roman"/>
          <w:b/>
        </w:rPr>
      </w:pPr>
    </w:p>
    <w:p w14:paraId="474AD048" w14:textId="4B47BF2F" w:rsidR="0054357F" w:rsidRDefault="0054357F" w:rsidP="005C3B3E">
      <w:pPr>
        <w:jc w:val="both"/>
        <w:rPr>
          <w:rFonts w:ascii="Times New Roman" w:hAnsi="Times New Roman" w:cs="Times New Roman"/>
          <w:b/>
        </w:rPr>
      </w:pPr>
      <w:r>
        <w:rPr>
          <w:rFonts w:ascii="Times New Roman" w:hAnsi="Times New Roman" w:cs="Times New Roman"/>
          <w:b/>
        </w:rPr>
        <w:t>Analisis Data</w:t>
      </w:r>
    </w:p>
    <w:p w14:paraId="797B8DDD"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Penelitian ini menganalisis 114 artikel yang telah memenuhi kriteria inklusi dan diekspor dalam format teks polos (plain text). Analisis bibliometrik dilakukan dengan memanfaatkan perangkat lunak VOSviewer, yang mampu menampilkan karakteristik struktural dan tematik suatu bidang kajian secara visual serta memiliki keunggulan khusus dalam analisis pengelompokan (clustering analysis) dan pemetaan jaringan ilmiah (van Eck &amp; Waltman, 2010).</w:t>
      </w:r>
    </w:p>
    <w:p w14:paraId="13FE6235"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Selain itu, penelitian ini juga menggunakan paket Bibliometrix, yaitu perangkat lunak sumber terbuka berbasis bahasa pemrograman R yang memungkinkan analisis bibliometrik dilakukan tanpa memerlukan kemampuan pengkodean yang kompleks. Hal ini secara signifikan menurunkan hambatan teknis dan memudahkan peneliti dari berbagai latar belakang untuk melakukan analisis secara sistematis dan replikatif (Aria &amp; Cuccurullo, 2017).</w:t>
      </w:r>
    </w:p>
    <w:p w14:paraId="1C25412F" w14:textId="485B496D"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 xml:space="preserve">Melalui VOSviewer versi 1.6.20, penelitian ini menghasilkan peta </w:t>
      </w:r>
      <w:r w:rsidR="00835421" w:rsidRPr="00835421">
        <w:rPr>
          <w:rFonts w:ascii="Times New Roman" w:hAnsi="Times New Roman" w:cs="Times New Roman"/>
          <w:i/>
        </w:rPr>
        <w:t>co-occurence</w:t>
      </w:r>
      <w:r w:rsidRPr="0054357F">
        <w:rPr>
          <w:rFonts w:ascii="Times New Roman" w:hAnsi="Times New Roman" w:cs="Times New Roman"/>
        </w:rPr>
        <w:t xml:space="preserve"> (co-occurrence maps) serta mengidentifikasi negara, institusi, dan kata kunci yang paling sering muncul dalam publikasi yang dianalisis. Pendekatan ini memungkinkan pemetaan hubungan konseptual dan pola kolaborasi dalam literatur Resource-Based View secara komprehensif</w:t>
      </w:r>
      <w:r>
        <w:rPr>
          <w:rFonts w:ascii="Times New Roman" w:hAnsi="Times New Roman" w:cs="Times New Roman"/>
        </w:rPr>
        <w:t>.</w:t>
      </w:r>
    </w:p>
    <w:p w14:paraId="072A9B45" w14:textId="77777777" w:rsidR="0054357F" w:rsidRDefault="0054357F" w:rsidP="005C3B3E">
      <w:pPr>
        <w:jc w:val="both"/>
        <w:rPr>
          <w:rFonts w:ascii="Times New Roman" w:hAnsi="Times New Roman" w:cs="Times New Roman"/>
          <w:b/>
          <w:sz w:val="26"/>
          <w:szCs w:val="26"/>
        </w:rPr>
      </w:pPr>
    </w:p>
    <w:p w14:paraId="5F725221" w14:textId="77777777" w:rsidR="002F69D8" w:rsidRDefault="002F69D8" w:rsidP="005C3B3E">
      <w:pPr>
        <w:jc w:val="both"/>
        <w:rPr>
          <w:rFonts w:ascii="Times New Roman" w:hAnsi="Times New Roman" w:cs="Times New Roman"/>
          <w:b/>
          <w:sz w:val="26"/>
          <w:szCs w:val="26"/>
        </w:rPr>
      </w:pPr>
    </w:p>
    <w:p w14:paraId="0AAC6758" w14:textId="7664A809" w:rsidR="00E125C8" w:rsidRDefault="00120321" w:rsidP="005C3B3E">
      <w:pPr>
        <w:jc w:val="both"/>
        <w:rPr>
          <w:rFonts w:ascii="Times New Roman" w:hAnsi="Times New Roman" w:cs="Times New Roman"/>
          <w:b/>
          <w:sz w:val="26"/>
          <w:szCs w:val="26"/>
        </w:rPr>
      </w:pPr>
      <w:r>
        <w:rPr>
          <w:rFonts w:ascii="Times New Roman" w:hAnsi="Times New Roman" w:cs="Times New Roman"/>
          <w:b/>
          <w:sz w:val="26"/>
          <w:szCs w:val="26"/>
        </w:rPr>
        <w:t>HASIL DAN PEMBAHASAN</w:t>
      </w:r>
    </w:p>
    <w:p w14:paraId="0D680107" w14:textId="0267442E" w:rsidR="0054357F" w:rsidRDefault="0054357F" w:rsidP="005C3B3E">
      <w:pPr>
        <w:jc w:val="both"/>
        <w:rPr>
          <w:rFonts w:ascii="Times New Roman" w:hAnsi="Times New Roman" w:cs="Times New Roman"/>
          <w:b/>
          <w:sz w:val="26"/>
          <w:szCs w:val="26"/>
        </w:rPr>
      </w:pPr>
      <w:r w:rsidRPr="0054357F">
        <w:rPr>
          <w:rFonts w:ascii="Times New Roman" w:hAnsi="Times New Roman" w:cs="Times New Roman"/>
          <w:b/>
          <w:sz w:val="26"/>
          <w:szCs w:val="26"/>
        </w:rPr>
        <w:t>Tren Publikasi pada Topik Resource-Based View</w:t>
      </w:r>
    </w:p>
    <w:p w14:paraId="60F07763"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 xml:space="preserve">Gambar 2 menyajikan perkembangan jumlah publikasi tahunan yang membahas Resource-Based View (RBV) selama periode 2010–2025. Secara umum, tren publikasi menunjukkan pola yang berfluktuasi, namun dengan kecenderungan meningkat dalam jangka panjang. Pada periode awal pengamatan, yaitu antara tahun 2010 hingga 2013, jumlah publikasi mengalami penurunan yang cukup signifikan, dari 8 artikel pada tahun 2010 menjadi hanya 2 artikel pada tahun 2013. Kondisi ini mengindikasikan fase awal yang relatif tidak stabil dalam perkembangan penelitian </w:t>
      </w:r>
      <w:r w:rsidRPr="0054357F">
        <w:rPr>
          <w:rFonts w:ascii="Times New Roman" w:hAnsi="Times New Roman" w:cs="Times New Roman"/>
        </w:rPr>
        <w:lastRenderedPageBreak/>
        <w:t>RBV pada periode tersebut.</w:t>
      </w:r>
    </w:p>
    <w:p w14:paraId="04210063"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Memasuki periode 2014–2019, jumlah publikasi menunjukkan pemulihan yang lebih konsisten dan stabil, dengan rata-rata 6 hingga 8 artikel per tahun. Fase ini mencerminkan meningkatnya konsolidasi akademik, di mana RBV mulai diposisikan sebagai kerangka teoretis yang mapan dalam studi manajemen strategis dan kinerja perusahaan. Penurunan kembali terjadi pada tahun 2020, yang kemungkinan besar dipengaruhi oleh gangguan eksternal terhadap aktivitas penelitian global.</w:t>
      </w:r>
    </w:p>
    <w:p w14:paraId="1305569D" w14:textId="435F38A6" w:rsidR="00E125C8"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Namun, setelah periode tersebut, terjadi lonjakan publikasi yang sangat signifikan pada tahun 2021 dengan total 14 artikel, yang merupakan angka tertinggi selama periode pengamatan. Meskipun jumlah publikasi sedikit menurun pada tahun 2022, tren kembali menunjukkan kestabilan dengan 11 artikel per tahun pada periode 2023–2025. Pola ini menunjukkan bahwa minat akademik terhadap RBV tidak hanya meningkat, tetapi juga berkelanjutan, sebagaimana lazim ditemukan dalam kajian bibliometrik yang memetakan dinamika dan kematangan suatu bidang penelitian (Donthu et al., 2021).</w:t>
      </w:r>
    </w:p>
    <w:p w14:paraId="378BCDC8" w14:textId="015219CA" w:rsidR="0054357F" w:rsidRDefault="0054357F" w:rsidP="005C3B3E">
      <w:pPr>
        <w:pBdr>
          <w:top w:val="nil"/>
          <w:left w:val="nil"/>
          <w:bottom w:val="nil"/>
          <w:right w:val="nil"/>
          <w:between w:val="nil"/>
        </w:pBdr>
        <w:ind w:firstLine="567"/>
        <w:jc w:val="both"/>
        <w:rPr>
          <w:rFonts w:ascii="Times New Roman" w:hAnsi="Times New Roman" w:cs="Times New Roman"/>
        </w:rPr>
      </w:pPr>
      <w:r>
        <w:rPr>
          <w:noProof/>
          <w:lang w:eastAsia="en-US"/>
        </w:rPr>
        <w:drawing>
          <wp:inline distT="0" distB="0" distL="0" distR="0" wp14:anchorId="45B40CBC" wp14:editId="27596489">
            <wp:extent cx="5418161" cy="2886501"/>
            <wp:effectExtent l="0" t="0" r="11430" b="9525"/>
            <wp:docPr id="163822694"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D7156C5-7D59-2B63-5816-8727E68B2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E8CC48" w14:textId="77777777" w:rsidR="0054357F" w:rsidRDefault="0054357F" w:rsidP="005C3B3E">
      <w:pPr>
        <w:jc w:val="center"/>
        <w:rPr>
          <w:rFonts w:ascii="Times New Roman" w:hAnsi="Times New Roman" w:cs="Times New Roman"/>
          <w:b/>
        </w:rPr>
      </w:pPr>
      <w:r w:rsidRPr="0054357F">
        <w:rPr>
          <w:rFonts w:ascii="Times New Roman" w:hAnsi="Times New Roman" w:cs="Times New Roman"/>
          <w:b/>
        </w:rPr>
        <w:t>Gambar 2: Jumlah Penelitian Tahunan pada Topik Resource-Based View</w:t>
      </w:r>
    </w:p>
    <w:p w14:paraId="489F47CA" w14:textId="6AC07F84" w:rsidR="0054357F" w:rsidRDefault="0054357F" w:rsidP="005C3B3E">
      <w:pPr>
        <w:jc w:val="center"/>
        <w:rPr>
          <w:rFonts w:ascii="Times New Roman" w:hAnsi="Times New Roman" w:cs="Times New Roman"/>
          <w:b/>
        </w:rPr>
      </w:pPr>
      <w:r w:rsidRPr="0054357F">
        <w:rPr>
          <w:rFonts w:ascii="Times New Roman" w:hAnsi="Times New Roman" w:cs="Times New Roman"/>
          <w:b/>
        </w:rPr>
        <w:t>Periode 2010–2025</w:t>
      </w:r>
    </w:p>
    <w:p w14:paraId="5BCD3B3E" w14:textId="77777777" w:rsidR="0054357F" w:rsidRDefault="0054357F" w:rsidP="005C3B3E">
      <w:pPr>
        <w:jc w:val="both"/>
        <w:rPr>
          <w:rFonts w:ascii="Times New Roman" w:hAnsi="Times New Roman" w:cs="Times New Roman"/>
          <w:b/>
          <w:sz w:val="26"/>
          <w:szCs w:val="26"/>
        </w:rPr>
      </w:pPr>
    </w:p>
    <w:p w14:paraId="1A50F4D8" w14:textId="77777777" w:rsidR="002F69D8" w:rsidRDefault="002F69D8" w:rsidP="005C3B3E">
      <w:pPr>
        <w:jc w:val="both"/>
        <w:rPr>
          <w:rFonts w:ascii="Times New Roman" w:hAnsi="Times New Roman" w:cs="Times New Roman"/>
          <w:b/>
          <w:sz w:val="26"/>
          <w:szCs w:val="26"/>
        </w:rPr>
      </w:pPr>
    </w:p>
    <w:p w14:paraId="4C15F021" w14:textId="3FC5977A" w:rsidR="0054357F" w:rsidRDefault="0054357F" w:rsidP="005C3B3E">
      <w:pPr>
        <w:jc w:val="both"/>
        <w:rPr>
          <w:rFonts w:ascii="Times New Roman" w:hAnsi="Times New Roman" w:cs="Times New Roman"/>
          <w:b/>
          <w:sz w:val="26"/>
          <w:szCs w:val="26"/>
        </w:rPr>
      </w:pPr>
      <w:r>
        <w:rPr>
          <w:rFonts w:ascii="Times New Roman" w:hAnsi="Times New Roman" w:cs="Times New Roman"/>
          <w:b/>
          <w:sz w:val="26"/>
          <w:szCs w:val="26"/>
        </w:rPr>
        <w:t>10 Sumber Akademik Teratas</w:t>
      </w:r>
    </w:p>
    <w:p w14:paraId="712E814A" w14:textId="7E384BB6"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Gambar 3 menampilkan sepuluh sumber akademik utama yang paling banyak berkontribusi terhadap publikasi yang dianalisis. Journal of Management muncul sebagai jurnal paling dominan dengan total delapan artikel, yang menegaskan perannya sebagai media utama dalam penyebaran dan pengembangan riset pada bidang ini. Pada kelompok berikutnya, Journal of Business Research, Journal of Cleaner Production, dan Sustainability (Switzerland) masing-masing menyumbangkan tiga artikel. Kontribusi ini mencerminkan pentingnya pendekatan interdisipliner serta meningkatnya perhatian terhadap isu keberlanjutan dalam penelitian berbasis Resource-Based View.</w:t>
      </w:r>
    </w:p>
    <w:p w14:paraId="25EC8571" w14:textId="77777777"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 xml:space="preserve">Sementara itu, jurnal lain seperti Business Strategy and the Environment, Competitiveness Review, IEEE Transactions on Engineering Management, Information and Management, International Journal of Production Economics, dan Journal of Business Ethics masing-masing </w:t>
      </w:r>
      <w:r w:rsidRPr="0054357F">
        <w:rPr>
          <w:rFonts w:ascii="Times New Roman" w:hAnsi="Times New Roman" w:cs="Times New Roman"/>
        </w:rPr>
        <w:lastRenderedPageBreak/>
        <w:t>menyumbangkan dua artikel. Pola ini menunjukkan distribusi publikasi yang relatif seimbang di antara jurnal-jurnal bereputasi yang berfokus pada manajemen, rekayasa, sistem informasi, dan etika bisnis. Secara keseluruhan, penyebaran artikel pada jurnal-jurnal berdampak tinggi tersebut mengindikasikan bahwa penelitian Resource-Based View didukung oleh fondasi ilmiah yang beragam namun tetap koheren, yang merupakan ciri khas dari bidang penelitian yang telah matang dan berkembang secara interdisipliner (Donthu et al., 2021).</w:t>
      </w:r>
    </w:p>
    <w:p w14:paraId="0F044B52" w14:textId="31730DFE" w:rsidR="0054357F" w:rsidRDefault="0054357F" w:rsidP="005C3B3E">
      <w:pPr>
        <w:pBdr>
          <w:top w:val="nil"/>
          <w:left w:val="nil"/>
          <w:bottom w:val="nil"/>
          <w:right w:val="nil"/>
          <w:between w:val="nil"/>
        </w:pBdr>
        <w:jc w:val="center"/>
        <w:rPr>
          <w:rFonts w:ascii="Times New Roman" w:hAnsi="Times New Roman" w:cs="Times New Roman"/>
        </w:rPr>
      </w:pPr>
      <w:r>
        <w:rPr>
          <w:noProof/>
          <w:lang w:eastAsia="en-US"/>
        </w:rPr>
        <w:drawing>
          <wp:inline distT="0" distB="0" distL="0" distR="0" wp14:anchorId="28F454C8" wp14:editId="40653334">
            <wp:extent cx="5404514" cy="3166281"/>
            <wp:effectExtent l="0" t="0" r="5715" b="15240"/>
            <wp:docPr id="38259040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4A014138-D88B-181C-0166-769A2061E4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A10A72" w14:textId="674FFE1A" w:rsidR="0054357F" w:rsidRDefault="0054357F" w:rsidP="005C3B3E">
      <w:pPr>
        <w:jc w:val="center"/>
        <w:rPr>
          <w:rFonts w:ascii="Times New Roman" w:hAnsi="Times New Roman" w:cs="Times New Roman"/>
          <w:b/>
        </w:rPr>
      </w:pPr>
      <w:r w:rsidRPr="0054357F">
        <w:rPr>
          <w:rFonts w:ascii="Times New Roman" w:hAnsi="Times New Roman" w:cs="Times New Roman"/>
          <w:b/>
        </w:rPr>
        <w:t>Gambar 3: Sepuluh Sumber Akademik Teratas pada Topik Resource-Based View</w:t>
      </w:r>
    </w:p>
    <w:p w14:paraId="7E53D547" w14:textId="77777777" w:rsidR="0054357F" w:rsidRDefault="0054357F" w:rsidP="005C3B3E">
      <w:pPr>
        <w:pBdr>
          <w:top w:val="nil"/>
          <w:left w:val="nil"/>
          <w:bottom w:val="nil"/>
          <w:right w:val="nil"/>
          <w:between w:val="nil"/>
        </w:pBdr>
        <w:ind w:firstLine="567"/>
        <w:jc w:val="center"/>
        <w:rPr>
          <w:rFonts w:ascii="Times New Roman" w:hAnsi="Times New Roman" w:cs="Times New Roman"/>
        </w:rPr>
      </w:pPr>
    </w:p>
    <w:p w14:paraId="5D95AEE8" w14:textId="77A59293" w:rsidR="0054357F" w:rsidRDefault="0054357F" w:rsidP="005C3B3E">
      <w:pPr>
        <w:jc w:val="both"/>
        <w:rPr>
          <w:rFonts w:ascii="Times New Roman" w:hAnsi="Times New Roman" w:cs="Times New Roman"/>
          <w:b/>
          <w:sz w:val="26"/>
          <w:szCs w:val="26"/>
        </w:rPr>
      </w:pPr>
      <w:r w:rsidRPr="0054357F">
        <w:rPr>
          <w:rFonts w:ascii="Times New Roman" w:hAnsi="Times New Roman" w:cs="Times New Roman"/>
          <w:b/>
          <w:sz w:val="26"/>
          <w:szCs w:val="26"/>
        </w:rPr>
        <w:t>Negara-Negara Utama dalam Penelitian Resource-Based View</w:t>
      </w:r>
    </w:p>
    <w:p w14:paraId="65E8A3A2" w14:textId="27E46ECC"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Gambar 4 menggambarkan distribusi publikasi berdasarkan negara atau wilayah, yang menyoroti konsentrasi geografis kontribusi akademik dalam penelitian Resource-Based View. Amerika Serikat menempati posisi teratas dengan jumlah publikasi tertinggi, yang menunjukkan peran dominannya dalam lanskap penelitian pada bidang ini. Posisi berikutnya ditempati oleh Inggris dan Tiongkok, yang juga mencatat tingkat produktivitas ilmiah yang tinggi dan mencerminkan keterlibatan akademik yang kuat dalam pengembangan kajian RBV.</w:t>
      </w:r>
    </w:p>
    <w:p w14:paraId="28DA7118"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Sejumlah negara Eropa, seperti Spanyol dan Jerman, memberikan kontribusi dalam jumlah menengah, yang mengindikasikan aktivitas penelitian yang konsisten di kawasan tersebut. Dari kawasan Asia–Pasifik, Malaysia dan Australia menunjukkan kontribusi yang cukup menonjol, sementara India memperlihatkan tren peningkatan partisipasi dalam diskursus ilmiah terkait RBV. Portugal dan Austria mencatat jumlah publikasi yang relatif lebih rendah, namun tetap menunjukkan keterlibatan dalam jaringan penelitian global.</w:t>
      </w:r>
    </w:p>
    <w:p w14:paraId="5F316721" w14:textId="77777777" w:rsidR="0054357F" w:rsidRPr="0054357F" w:rsidRDefault="0054357F" w:rsidP="005C3B3E">
      <w:pPr>
        <w:pBdr>
          <w:top w:val="nil"/>
          <w:left w:val="nil"/>
          <w:bottom w:val="nil"/>
          <w:right w:val="nil"/>
          <w:between w:val="nil"/>
        </w:pBdr>
        <w:ind w:firstLine="567"/>
        <w:jc w:val="both"/>
        <w:rPr>
          <w:rFonts w:ascii="Times New Roman" w:hAnsi="Times New Roman" w:cs="Times New Roman"/>
        </w:rPr>
      </w:pPr>
    </w:p>
    <w:p w14:paraId="729DB926" w14:textId="77777777"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Secara keseluruhan, pola distribusi ini menunjukkan bahwa output penelitian masih terkonsentrasi pada sejumlah negara utama, tetapi pada saat yang sama melibatkan beragam negara lain. Kondisi tersebut mencerminkan meningkatnya internasionalisasi penelitian akademik, yang merupakan karakteristik umum dalam perkembangan bidang ilmu yang telah matang dan berkembang secara global (Donthu et al., 2021).</w:t>
      </w:r>
    </w:p>
    <w:p w14:paraId="4A836121" w14:textId="4B4F7799" w:rsidR="0054357F" w:rsidRDefault="0054357F" w:rsidP="005C3B3E">
      <w:pPr>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14:anchorId="493E6A08" wp14:editId="36ADF9A8">
            <wp:extent cx="5212715" cy="2883535"/>
            <wp:effectExtent l="0" t="0" r="6985" b="0"/>
            <wp:docPr id="33926208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2715" cy="2883535"/>
                    </a:xfrm>
                    <a:prstGeom prst="rect">
                      <a:avLst/>
                    </a:prstGeom>
                    <a:noFill/>
                  </pic:spPr>
                </pic:pic>
              </a:graphicData>
            </a:graphic>
          </wp:inline>
        </w:drawing>
      </w:r>
    </w:p>
    <w:p w14:paraId="09A13C4B" w14:textId="06B59DE5" w:rsidR="0054357F" w:rsidRDefault="0054357F" w:rsidP="005C3B3E">
      <w:pPr>
        <w:jc w:val="center"/>
        <w:rPr>
          <w:rFonts w:ascii="Times New Roman" w:hAnsi="Times New Roman" w:cs="Times New Roman"/>
        </w:rPr>
      </w:pPr>
      <w:r w:rsidRPr="0054357F">
        <w:rPr>
          <w:rFonts w:ascii="Times New Roman" w:hAnsi="Times New Roman" w:cs="Times New Roman"/>
          <w:b/>
        </w:rPr>
        <w:t xml:space="preserve">Gambar </w:t>
      </w:r>
      <w:r>
        <w:rPr>
          <w:rFonts w:ascii="Times New Roman" w:hAnsi="Times New Roman" w:cs="Times New Roman"/>
          <w:b/>
        </w:rPr>
        <w:t>4</w:t>
      </w:r>
      <w:r w:rsidRPr="0054357F">
        <w:rPr>
          <w:rFonts w:ascii="Times New Roman" w:hAnsi="Times New Roman" w:cs="Times New Roman"/>
          <w:b/>
        </w:rPr>
        <w:t xml:space="preserve">: Sepuluh </w:t>
      </w:r>
      <w:r>
        <w:rPr>
          <w:rFonts w:ascii="Times New Roman" w:hAnsi="Times New Roman" w:cs="Times New Roman"/>
          <w:b/>
        </w:rPr>
        <w:t>Negara</w:t>
      </w:r>
      <w:r w:rsidRPr="0054357F">
        <w:rPr>
          <w:rFonts w:ascii="Times New Roman" w:hAnsi="Times New Roman" w:cs="Times New Roman"/>
          <w:b/>
        </w:rPr>
        <w:t xml:space="preserve"> Teratas pada Topik Resource-Based View</w:t>
      </w:r>
    </w:p>
    <w:p w14:paraId="71339996" w14:textId="77777777" w:rsidR="0054357F" w:rsidRDefault="0054357F" w:rsidP="005C3B3E">
      <w:pPr>
        <w:jc w:val="both"/>
        <w:rPr>
          <w:rFonts w:ascii="Times New Roman" w:hAnsi="Times New Roman" w:cs="Times New Roman"/>
        </w:rPr>
      </w:pPr>
    </w:p>
    <w:p w14:paraId="1F0DF2DC" w14:textId="322D67D3" w:rsidR="0054357F" w:rsidRDefault="0054357F" w:rsidP="005C3B3E">
      <w:pPr>
        <w:jc w:val="both"/>
        <w:rPr>
          <w:rFonts w:ascii="Times New Roman" w:hAnsi="Times New Roman" w:cs="Times New Roman"/>
          <w:b/>
          <w:sz w:val="26"/>
          <w:szCs w:val="26"/>
        </w:rPr>
      </w:pPr>
      <w:r w:rsidRPr="0054357F">
        <w:rPr>
          <w:rFonts w:ascii="Times New Roman" w:hAnsi="Times New Roman" w:cs="Times New Roman"/>
          <w:b/>
          <w:sz w:val="26"/>
          <w:szCs w:val="26"/>
        </w:rPr>
        <w:t>Afiliasi Institusi Utama dalam Penelitian Resource-Based View</w:t>
      </w:r>
    </w:p>
    <w:p w14:paraId="11AD9D7D" w14:textId="5A5A409B"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 xml:space="preserve">Gambar </w:t>
      </w:r>
      <w:r>
        <w:rPr>
          <w:rFonts w:ascii="Times New Roman" w:hAnsi="Times New Roman" w:cs="Times New Roman"/>
        </w:rPr>
        <w:t xml:space="preserve">5 </w:t>
      </w:r>
      <w:r w:rsidRPr="0054357F">
        <w:rPr>
          <w:rFonts w:ascii="Times New Roman" w:hAnsi="Times New Roman" w:cs="Times New Roman"/>
        </w:rPr>
        <w:t>menampilkan distribusi publikasi berdasarkan afiliasi institusional, yang menyoroti institusi-institusi paling aktif dalam literatur Resource-Based View yang dianalisis. Faculty of Business and Economics, University of Pécs dan Pécsi Tudományegyetem muncul sebagai afiliasi terdepan, masing-masing menyumbangkan empat publikasi. Temuan ini menunjukkan adanya konsentrasi output penelitian yang cukup kuat pada institusi tertentu. Liverpool Business School berada pada posisi berikutnya dengan tiga publikasi, yang mencerminkan tingkat keterlibatan akademik yang signifikan dalam pengembangan kajian RBV.</w:t>
      </w:r>
    </w:p>
    <w:p w14:paraId="61017E25" w14:textId="77777777"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Sejumlah universitas mapan lainnya, seperti National University of Singapore, Universidad de Zaragoza, University of York, King’s College London, Universiti Kebangsaan Malaysia, Universidade da Beira Interior, dan Friedrich-Alexander-Universität Erlangen–Nürnberg, masing-masing menyumbangkan dua publikasi. Distribusi yang relatif merata di antara afiliasi lainnya ini mengindikasikan pola partisipasi institusional yang tersebar.</w:t>
      </w:r>
    </w:p>
    <w:p w14:paraId="57C7DDA4" w14:textId="5004BE33"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Secara keseluruhan, hasil ini menunjukkan bahwa meskipun sebagian kecil institusi mendominasi jumlah publikasi, bidang penelitian Resource-Based View tetap didukung oleh beragam universitas dari berbagai negara. Pola tersebut menegaskan sifat penelitian yang semakin internasional dan kolaboratif, sebagaimana lazim ditemukan dalam bidang ilmu yang berkembang dan telah mencapai tingkat kematangan tertentu (Donthu et al., 2021).</w:t>
      </w:r>
    </w:p>
    <w:p w14:paraId="6271DE9F" w14:textId="77777777" w:rsidR="0054357F" w:rsidRDefault="0054357F" w:rsidP="005C3B3E">
      <w:pPr>
        <w:jc w:val="both"/>
        <w:rPr>
          <w:rFonts w:ascii="Times New Roman" w:hAnsi="Times New Roman" w:cs="Times New Roman"/>
        </w:rPr>
      </w:pPr>
    </w:p>
    <w:p w14:paraId="482981DE" w14:textId="77777777" w:rsidR="0054357F" w:rsidRDefault="0054357F" w:rsidP="005C3B3E">
      <w:pPr>
        <w:jc w:val="both"/>
        <w:rPr>
          <w:rFonts w:ascii="Times New Roman" w:hAnsi="Times New Roman" w:cs="Times New Roman"/>
        </w:rPr>
      </w:pPr>
    </w:p>
    <w:p w14:paraId="5D0594A7" w14:textId="312812A4" w:rsidR="0054357F" w:rsidRDefault="0054357F" w:rsidP="005C3B3E">
      <w:pPr>
        <w:jc w:val="center"/>
        <w:rPr>
          <w:rFonts w:ascii="Times New Roman" w:hAnsi="Times New Roman" w:cs="Times New Roman"/>
        </w:rPr>
      </w:pPr>
      <w:r>
        <w:rPr>
          <w:noProof/>
          <w:lang w:eastAsia="en-US"/>
        </w:rPr>
        <w:lastRenderedPageBreak/>
        <w:drawing>
          <wp:inline distT="0" distB="0" distL="0" distR="0" wp14:anchorId="695FEB80" wp14:editId="1FDA8A1C">
            <wp:extent cx="5459105" cy="2906973"/>
            <wp:effectExtent l="0" t="0" r="8255" b="8255"/>
            <wp:docPr id="273479369"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44263357-F4D1-46F3-D400-2BF2E49607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124684" w14:textId="1ADDDFDF" w:rsidR="0054357F" w:rsidRDefault="0054357F" w:rsidP="005C3B3E">
      <w:pPr>
        <w:jc w:val="center"/>
        <w:rPr>
          <w:rFonts w:ascii="Times New Roman" w:hAnsi="Times New Roman" w:cs="Times New Roman"/>
        </w:rPr>
      </w:pPr>
      <w:r w:rsidRPr="0054357F">
        <w:rPr>
          <w:rFonts w:ascii="Times New Roman" w:hAnsi="Times New Roman" w:cs="Times New Roman"/>
          <w:b/>
        </w:rPr>
        <w:t xml:space="preserve">Gambar </w:t>
      </w:r>
      <w:r>
        <w:rPr>
          <w:rFonts w:ascii="Times New Roman" w:hAnsi="Times New Roman" w:cs="Times New Roman"/>
          <w:b/>
        </w:rPr>
        <w:t>5</w:t>
      </w:r>
      <w:r w:rsidRPr="0054357F">
        <w:rPr>
          <w:rFonts w:ascii="Times New Roman" w:hAnsi="Times New Roman" w:cs="Times New Roman"/>
          <w:b/>
        </w:rPr>
        <w:t xml:space="preserve">: Sepuluh </w:t>
      </w:r>
      <w:r>
        <w:rPr>
          <w:rFonts w:ascii="Times New Roman" w:hAnsi="Times New Roman" w:cs="Times New Roman"/>
          <w:b/>
        </w:rPr>
        <w:t>Afiliasi Institusi</w:t>
      </w:r>
      <w:r w:rsidRPr="0054357F">
        <w:rPr>
          <w:rFonts w:ascii="Times New Roman" w:hAnsi="Times New Roman" w:cs="Times New Roman"/>
          <w:b/>
        </w:rPr>
        <w:t xml:space="preserve"> Teratas pada Topik Resource-Based View</w:t>
      </w:r>
    </w:p>
    <w:p w14:paraId="0CE94DD1" w14:textId="77777777" w:rsidR="0054357F" w:rsidRDefault="0054357F" w:rsidP="005C3B3E">
      <w:pPr>
        <w:jc w:val="both"/>
        <w:rPr>
          <w:rFonts w:ascii="Times New Roman" w:hAnsi="Times New Roman" w:cs="Times New Roman"/>
        </w:rPr>
      </w:pPr>
    </w:p>
    <w:p w14:paraId="555F85A0" w14:textId="7A2ADE30" w:rsidR="0054357F" w:rsidRDefault="0054357F" w:rsidP="005C3B3E">
      <w:pPr>
        <w:jc w:val="both"/>
        <w:rPr>
          <w:rFonts w:ascii="Times New Roman" w:hAnsi="Times New Roman" w:cs="Times New Roman"/>
          <w:b/>
          <w:sz w:val="26"/>
          <w:szCs w:val="26"/>
        </w:rPr>
      </w:pPr>
      <w:r w:rsidRPr="0054357F">
        <w:rPr>
          <w:rFonts w:ascii="Times New Roman" w:hAnsi="Times New Roman" w:cs="Times New Roman"/>
          <w:b/>
          <w:sz w:val="26"/>
          <w:szCs w:val="26"/>
        </w:rPr>
        <w:t>Penulis Utama dalam Penelitian Resource-Based View</w:t>
      </w:r>
    </w:p>
    <w:p w14:paraId="6779FFA0" w14:textId="77777777"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Berdasarkan jumlah sitasi yang disajikan pada Tabel 1, studi yang paling berpengaruh dalam literatur Resource-Based View adalah karya Lin dan Wu (2014) dengan total 580 sitasi, diikuti oleh Freeman et al. (2021) yang memperoleh 492 sitasi. Selanjutnya, penelitian oleh Khanra et al. (2022) disitasi sebanyak 414 kali, Andersén (2021) sebanyak 268 kali, dan Zahra (2021) memperoleh 251 sitasi. Karya Tate dan Bals (2018) mencatat 250 sitasi, diikuti oleh Shibin et al. (2020) dengan 239 sitasi, Bhandari et al. (2022) dengan 210 sitasi, serta Gerhart dan Feng (2021) yang memperoleh 202 sitasi. Sementara itu, Abu Bakar dan Ahmad (2010) mencatat jumlah sitasi terendah di antara sepuluh besar, yaitu sebanyak 195 sitasi.</w:t>
      </w:r>
    </w:p>
    <w:p w14:paraId="6CE4E6FA" w14:textId="77777777"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Secara umum, temuan kolektif dari para penulis paling berpengaruh tersebut menunjukkan bahwa penelitian RBV telah mengalami perkembangan teoretis dan empiris yang signifikan. Studi-studi utama menegaskan bahwa keunggulan kompetitif berkelanjutan tidak dapat dijelaskan semata-mata melalui kepemilikan sumber daya yang bernilai, langka, sulit ditiru, dan tidak dapat disubstitusi (VRIN), melainkan sangat bergantung pada kemampuan perusahaan dalam mengelola, mengombinasikan, dan mengonfigurasi ulang sumber daya tersebut secara dinamis (Lin &amp; Wu, 2014). Penelitian dengan tingkat sitasi tinggi juga menekankan peran mediasi kapabilitas dinamis—khususnya pembelajaran dan adaptabilitas—dalam menerjemahkan sumber daya strategis menjadi kinerja unggul.</w:t>
      </w:r>
    </w:p>
    <w:p w14:paraId="55129BC8" w14:textId="048B3E62" w:rsidR="0054357F" w:rsidRDefault="0054357F" w:rsidP="005C3B3E">
      <w:pPr>
        <w:pBdr>
          <w:top w:val="nil"/>
          <w:left w:val="nil"/>
          <w:bottom w:val="nil"/>
          <w:right w:val="nil"/>
          <w:between w:val="nil"/>
        </w:pBdr>
        <w:ind w:firstLine="567"/>
        <w:jc w:val="both"/>
        <w:rPr>
          <w:rFonts w:ascii="Times New Roman" w:hAnsi="Times New Roman" w:cs="Times New Roman"/>
        </w:rPr>
      </w:pPr>
      <w:r w:rsidRPr="0054357F">
        <w:rPr>
          <w:rFonts w:ascii="Times New Roman" w:hAnsi="Times New Roman" w:cs="Times New Roman"/>
        </w:rPr>
        <w:t>Selain itu, sejumlah kontribusi penting menyoroti keterbatasan RBV tradisional dan mendorong integrasinya dengan teori pemangku kepentingan, kewirausahaan, serta perspektif sumber daya sosial dan lingkungan untuk menangkap ketidakpastian lingkungan, legitimasi, dan keterbatasan sumber daya secara lebih komprehensif (Freeman et al., 2021; Zahra, 2021). Munculnya tema keberlanjutan, ESG, inovasi hijau, dan modal manusia dalam karya-karya yang paling banyak disitasi semakin menegaskan pergeseran RBV menuju kerangka yang lebih integratif dan peka terhadap konteks. Dengan demikian, para penulis terkemuka tersebut secara kolektif memosisikan RBV sebagai kerangka teoretis yang dinamis dan kontekstual, yang mampu menjelaskan keragaman kinerja perusahaan dalam lingkungan bisnis yang berkelanjutan, kompleks, dan terlembaga.</w:t>
      </w:r>
    </w:p>
    <w:p w14:paraId="649FBC75" w14:textId="77777777" w:rsidR="00D13672" w:rsidRDefault="00D13672" w:rsidP="005C3B3E">
      <w:pPr>
        <w:pBdr>
          <w:top w:val="nil"/>
          <w:left w:val="nil"/>
          <w:bottom w:val="nil"/>
          <w:right w:val="nil"/>
          <w:between w:val="nil"/>
        </w:pBdr>
        <w:ind w:firstLine="567"/>
        <w:jc w:val="both"/>
        <w:rPr>
          <w:rFonts w:ascii="Times New Roman" w:hAnsi="Times New Roman" w:cs="Times New Roman"/>
        </w:rPr>
      </w:pPr>
    </w:p>
    <w:p w14:paraId="02ED4AEA" w14:textId="7D166142" w:rsidR="0054357F" w:rsidRDefault="00D13672" w:rsidP="005C3B3E">
      <w:pPr>
        <w:jc w:val="center"/>
        <w:rPr>
          <w:rFonts w:ascii="Times New Roman" w:hAnsi="Times New Roman" w:cs="Times New Roman"/>
        </w:rPr>
      </w:pPr>
      <w:r>
        <w:rPr>
          <w:rFonts w:ascii="Times New Roman" w:hAnsi="Times New Roman" w:cs="Times New Roman"/>
          <w:b/>
        </w:rPr>
        <w:t xml:space="preserve">Tabel. 1 </w:t>
      </w:r>
      <w:r w:rsidRPr="00D13672">
        <w:rPr>
          <w:rFonts w:ascii="Times New Roman" w:hAnsi="Times New Roman" w:cs="Times New Roman"/>
          <w:b/>
        </w:rPr>
        <w:t>Sepuluh Penulis Teratas pada Topik Resource-Based View</w:t>
      </w:r>
    </w:p>
    <w:tbl>
      <w:tblPr>
        <w:tblStyle w:val="TableGrid"/>
        <w:tblW w:w="9209" w:type="dxa"/>
        <w:tblLook w:val="04A0" w:firstRow="1" w:lastRow="0" w:firstColumn="1" w:lastColumn="0" w:noHBand="0" w:noVBand="1"/>
      </w:tblPr>
      <w:tblGrid>
        <w:gridCol w:w="461"/>
        <w:gridCol w:w="2086"/>
        <w:gridCol w:w="4790"/>
        <w:gridCol w:w="1872"/>
      </w:tblGrid>
      <w:tr w:rsidR="0054357F" w:rsidRPr="00E87883" w14:paraId="6981B85A" w14:textId="77777777" w:rsidTr="00F10249">
        <w:tc>
          <w:tcPr>
            <w:tcW w:w="461" w:type="dxa"/>
          </w:tcPr>
          <w:p w14:paraId="1A27729D" w14:textId="77777777" w:rsidR="0054357F" w:rsidRPr="00E352F5" w:rsidRDefault="0054357F" w:rsidP="005C3B3E">
            <w:pPr>
              <w:jc w:val="center"/>
              <w:rPr>
                <w:rFonts w:ascii="Times New Roman" w:hAnsi="Times New Roman" w:cs="Times New Roman"/>
                <w:b/>
                <w:bCs/>
                <w:sz w:val="20"/>
                <w:szCs w:val="20"/>
              </w:rPr>
            </w:pPr>
            <w:bookmarkStart w:id="1" w:name="_Hlk206610347"/>
            <w:r w:rsidRPr="00E352F5">
              <w:rPr>
                <w:rFonts w:ascii="Times New Roman" w:hAnsi="Times New Roman" w:cs="Times New Roman"/>
                <w:b/>
                <w:bCs/>
                <w:sz w:val="20"/>
                <w:szCs w:val="20"/>
              </w:rPr>
              <w:t>No</w:t>
            </w:r>
          </w:p>
        </w:tc>
        <w:tc>
          <w:tcPr>
            <w:tcW w:w="2086" w:type="dxa"/>
          </w:tcPr>
          <w:p w14:paraId="7664A9C1" w14:textId="159A775A" w:rsidR="0054357F" w:rsidRPr="00E352F5" w:rsidRDefault="00D13672" w:rsidP="005C3B3E">
            <w:pPr>
              <w:jc w:val="center"/>
              <w:rPr>
                <w:rFonts w:ascii="Times New Roman" w:hAnsi="Times New Roman" w:cs="Times New Roman"/>
                <w:b/>
                <w:bCs/>
                <w:sz w:val="20"/>
                <w:szCs w:val="20"/>
              </w:rPr>
            </w:pPr>
            <w:r>
              <w:rPr>
                <w:rFonts w:ascii="Times New Roman" w:hAnsi="Times New Roman" w:cs="Times New Roman"/>
                <w:b/>
                <w:bCs/>
                <w:sz w:val="20"/>
                <w:szCs w:val="20"/>
              </w:rPr>
              <w:t>Penulis, Tahun</w:t>
            </w:r>
          </w:p>
        </w:tc>
        <w:tc>
          <w:tcPr>
            <w:tcW w:w="4790" w:type="dxa"/>
          </w:tcPr>
          <w:p w14:paraId="0ED13E36" w14:textId="261B0C10" w:rsidR="0054357F" w:rsidRPr="00E352F5" w:rsidRDefault="00D13672" w:rsidP="005C3B3E">
            <w:pPr>
              <w:jc w:val="center"/>
              <w:rPr>
                <w:rFonts w:ascii="Times New Roman" w:hAnsi="Times New Roman" w:cs="Times New Roman"/>
                <w:b/>
                <w:bCs/>
                <w:sz w:val="20"/>
                <w:szCs w:val="20"/>
              </w:rPr>
            </w:pPr>
            <w:r>
              <w:rPr>
                <w:rFonts w:ascii="Times New Roman" w:hAnsi="Times New Roman" w:cs="Times New Roman"/>
                <w:b/>
                <w:bCs/>
                <w:sz w:val="20"/>
                <w:szCs w:val="20"/>
              </w:rPr>
              <w:t>Hasil Temuan</w:t>
            </w:r>
          </w:p>
        </w:tc>
        <w:tc>
          <w:tcPr>
            <w:tcW w:w="1872" w:type="dxa"/>
          </w:tcPr>
          <w:p w14:paraId="0C4C6314" w14:textId="413CE32A" w:rsidR="0054357F" w:rsidRPr="00E352F5" w:rsidRDefault="00D13672" w:rsidP="005C3B3E">
            <w:pPr>
              <w:jc w:val="center"/>
              <w:rPr>
                <w:rFonts w:ascii="Times New Roman" w:hAnsi="Times New Roman" w:cs="Times New Roman"/>
                <w:b/>
                <w:bCs/>
                <w:sz w:val="20"/>
                <w:szCs w:val="20"/>
              </w:rPr>
            </w:pPr>
            <w:r>
              <w:rPr>
                <w:rFonts w:ascii="Times New Roman" w:hAnsi="Times New Roman" w:cs="Times New Roman"/>
                <w:b/>
                <w:bCs/>
                <w:sz w:val="20"/>
                <w:szCs w:val="20"/>
              </w:rPr>
              <w:t>Sitasi</w:t>
            </w:r>
            <w:r w:rsidR="0054357F" w:rsidRPr="0067254D">
              <w:rPr>
                <w:rFonts w:ascii="Times New Roman" w:hAnsi="Times New Roman" w:cs="Times New Roman"/>
                <w:b/>
                <w:bCs/>
                <w:sz w:val="20"/>
                <w:szCs w:val="20"/>
              </w:rPr>
              <w:t>/Quartile/SJR</w:t>
            </w:r>
          </w:p>
        </w:tc>
      </w:tr>
      <w:tr w:rsidR="0054357F" w:rsidRPr="00E87883" w14:paraId="061698AA" w14:textId="77777777" w:rsidTr="00F10249">
        <w:tc>
          <w:tcPr>
            <w:tcW w:w="461" w:type="dxa"/>
            <w:shd w:val="clear" w:color="auto" w:fill="FFFFFF" w:themeFill="background1"/>
          </w:tcPr>
          <w:p w14:paraId="308A367A" w14:textId="77777777" w:rsidR="0054357F" w:rsidRPr="00E352F5" w:rsidRDefault="0054357F" w:rsidP="005C3B3E">
            <w:pPr>
              <w:jc w:val="center"/>
              <w:rPr>
                <w:rFonts w:ascii="Times New Roman" w:hAnsi="Times New Roman" w:cs="Times New Roman"/>
                <w:sz w:val="20"/>
                <w:szCs w:val="20"/>
              </w:rPr>
            </w:pPr>
            <w:r w:rsidRPr="00E352F5">
              <w:rPr>
                <w:rFonts w:ascii="Times New Roman" w:hAnsi="Times New Roman" w:cs="Times New Roman"/>
                <w:sz w:val="20"/>
                <w:szCs w:val="20"/>
              </w:rPr>
              <w:t>1</w:t>
            </w:r>
          </w:p>
        </w:tc>
        <w:tc>
          <w:tcPr>
            <w:tcW w:w="2086" w:type="dxa"/>
            <w:shd w:val="clear" w:color="auto" w:fill="FFFFFF" w:themeFill="background1"/>
          </w:tcPr>
          <w:p w14:paraId="4158C1BC" w14:textId="77777777" w:rsidR="0054357F" w:rsidRPr="00E352F5" w:rsidRDefault="0054357F" w:rsidP="005C3B3E">
            <w:pPr>
              <w:jc w:val="center"/>
              <w:rPr>
                <w:rFonts w:ascii="Times New Roman" w:hAnsi="Times New Roman" w:cs="Times New Roman"/>
                <w:b/>
                <w:bCs/>
                <w:sz w:val="20"/>
                <w:szCs w:val="20"/>
              </w:rPr>
            </w:pPr>
            <w:r>
              <w:rPr>
                <w:rFonts w:ascii="Times New Roman" w:hAnsi="Times New Roman" w:cs="Times New Roman"/>
                <w:b/>
                <w:bCs/>
                <w:sz w:val="20"/>
                <w:szCs w:val="20"/>
              </w:rPr>
              <w:fldChar w:fldCharType="begin" w:fldLock="1"/>
            </w:r>
            <w:r>
              <w:rPr>
                <w:rFonts w:ascii="Times New Roman" w:hAnsi="Times New Roman" w:cs="Times New Roman"/>
                <w:b/>
                <w:bCs/>
                <w:sz w:val="20"/>
                <w:szCs w:val="20"/>
              </w:rPr>
              <w:instrText>ADDIN CSL_CITATION {"citationItems":[{"id":"ITEM-1","itemData":{"DOI":"10.1016/j.jbusres.2012.12.019","ISSN":"01482963 (ISSN)","abstract":"This study investigates the role of dynamic capabilities in the resource-based view framework, and also explores the relationships among different resources, different dynamic capabilities and firm performance. Employing samples of top 1000 Taiwanese companies, the findings show that dynamic capabilities can mediate the firm's valuable, rare, inimitable and non-substitutable (VRIN) resources to improve performance. On the contrary, non-VRIN resources have an insignificant mediating effect. Among three types of dynamic capabilities, dynamic learning capability most effectively mediates the influence of VRIN resources on performance. Furthermore, the important role of VRIN resources is addressed because of their direct effects on performance based on RBV, as well as their indirect effect via the mediation of dynamic capabilities. © 2013 Elsevier Inc.","author":[{"dropping-particle":"","family":"Lin","given":"Y","non-dropping-particle":"","parse-names":false,"suffix":""},{"dropping-particle":"","family":"Wu","given":"L.-Y.","non-dropping-particle":"","parse-names":false,"suffix":""}],"container-title":"Journal of Business Research","id":"ITEM-1","issue":"3","issued":{"date-parts":[["2014"]]},"language":"English","note":"Export Date: 07 February 2026; Cited By: 580; Correspondence Address: L.-Y. Wu; Business Administration, National Chengchi University, Wenshan District, Taipei City 11605, No. 64, Sec. 2, Zhi-Nan Rd., Taiwan; email: wuly@nccu.edu.tw; CODEN: JBRED","page":"407-413","publisher-place":"National Taipei University of Business, Sec. 1, Taipei, Taipei, Taiwan","title":"Exploring the role of dynamic capabilities in firm performance under the resource-based view framework","type":"article-journal","volume":"67"},"uris":["http://www.mendeley.com/documents/?uuid=eee9c1b9-3f63-4a56-a700-e79a2f6506af"]}],"mendeley":{"formattedCitation":"(Lin &amp; Wu, 2014)","plainTextFormattedCitation":"(Lin &amp; Wu, 2014)","previouslyFormattedCitation":"(Lin &amp; Wu, 2014)"},"properties":{"noteIndex":0},"schema":"https://github.com/citation-style-language/schema/raw/master/csl-citation.json"}</w:instrText>
            </w:r>
            <w:r>
              <w:rPr>
                <w:rFonts w:ascii="Times New Roman" w:hAnsi="Times New Roman" w:cs="Times New Roman"/>
                <w:b/>
                <w:bCs/>
                <w:sz w:val="20"/>
                <w:szCs w:val="20"/>
              </w:rPr>
              <w:fldChar w:fldCharType="separate"/>
            </w:r>
            <w:r w:rsidRPr="00BE61A5">
              <w:rPr>
                <w:rFonts w:ascii="Times New Roman" w:hAnsi="Times New Roman" w:cs="Times New Roman"/>
                <w:bCs/>
                <w:noProof/>
                <w:sz w:val="20"/>
                <w:szCs w:val="20"/>
              </w:rPr>
              <w:t>(Lin &amp; Wu, 2014)</w:t>
            </w:r>
            <w:r>
              <w:rPr>
                <w:rFonts w:ascii="Times New Roman" w:hAnsi="Times New Roman" w:cs="Times New Roman"/>
                <w:b/>
                <w:bCs/>
                <w:sz w:val="20"/>
                <w:szCs w:val="20"/>
              </w:rPr>
              <w:fldChar w:fldCharType="end"/>
            </w:r>
          </w:p>
        </w:tc>
        <w:tc>
          <w:tcPr>
            <w:tcW w:w="4790" w:type="dxa"/>
            <w:shd w:val="clear" w:color="auto" w:fill="FFFFFF" w:themeFill="background1"/>
            <w:vAlign w:val="bottom"/>
          </w:tcPr>
          <w:p w14:paraId="050D13DB" w14:textId="4D497945" w:rsidR="0054357F" w:rsidRPr="00BD6B93" w:rsidRDefault="0054357F" w:rsidP="005C3B3E">
            <w:pPr>
              <w:jc w:val="both"/>
              <w:rPr>
                <w:rFonts w:ascii="Times New Roman" w:hAnsi="Times New Roman" w:cs="Times New Roman"/>
                <w:sz w:val="20"/>
                <w:szCs w:val="20"/>
              </w:rPr>
            </w:pPr>
            <w:r w:rsidRPr="0054357F">
              <w:rPr>
                <w:rFonts w:ascii="Times New Roman" w:hAnsi="Times New Roman" w:cs="Times New Roman"/>
                <w:sz w:val="20"/>
                <w:szCs w:val="20"/>
              </w:rPr>
              <w:t>Hasil penelitian menunjukkan bahwa kapabilitas dinamis mampu memediasi pengaruh sumber daya yang bernilai, langka, sulit ditiru, dan tidak dapat disubstitusi (VRIN) terhadap peningkatan kinerja perusahaan. Sebaliknya, sumber daya non-VRIN tidak menunjukkan efek mediasi yang signifikan. Di antara tiga jenis kapabilitas dinamis, kapabilitas pembelajaran dinamis merupakan mediator paling efektif dalam hubungan antara sumber daya VRIN dan kinerja. Selain itu, peran penting sumber daya VRIN ditegaskan melalui pengaruh langsungnya terhadap kinerja berdasarkan RBV, serta pengaruh tidak langsung melalui mediasi kapabilitas dinamis</w:t>
            </w:r>
          </w:p>
        </w:tc>
        <w:tc>
          <w:tcPr>
            <w:tcW w:w="1872" w:type="dxa"/>
            <w:shd w:val="clear" w:color="auto" w:fill="FFFFFF" w:themeFill="background1"/>
            <w:vAlign w:val="center"/>
          </w:tcPr>
          <w:p w14:paraId="61BF61C4"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t>580/Q1/3.499</w:t>
            </w:r>
          </w:p>
        </w:tc>
      </w:tr>
      <w:tr w:rsidR="0054357F" w:rsidRPr="00E87883" w14:paraId="2DE3CFB5" w14:textId="77777777" w:rsidTr="00F10249">
        <w:tc>
          <w:tcPr>
            <w:tcW w:w="461" w:type="dxa"/>
            <w:shd w:val="clear" w:color="auto" w:fill="FFFFFF" w:themeFill="background1"/>
          </w:tcPr>
          <w:p w14:paraId="2BEB59EC" w14:textId="77777777" w:rsidR="0054357F" w:rsidRPr="00E352F5" w:rsidRDefault="0054357F" w:rsidP="005C3B3E">
            <w:pPr>
              <w:jc w:val="center"/>
              <w:rPr>
                <w:rFonts w:ascii="Times New Roman" w:hAnsi="Times New Roman" w:cs="Times New Roman"/>
                <w:sz w:val="20"/>
                <w:szCs w:val="20"/>
              </w:rPr>
            </w:pPr>
            <w:r w:rsidRPr="00E352F5">
              <w:rPr>
                <w:rFonts w:ascii="Times New Roman" w:hAnsi="Times New Roman" w:cs="Times New Roman"/>
                <w:sz w:val="20"/>
                <w:szCs w:val="20"/>
              </w:rPr>
              <w:t>2</w:t>
            </w:r>
          </w:p>
        </w:tc>
        <w:tc>
          <w:tcPr>
            <w:tcW w:w="2086" w:type="dxa"/>
            <w:shd w:val="clear" w:color="auto" w:fill="FFFFFF" w:themeFill="background1"/>
          </w:tcPr>
          <w:p w14:paraId="7EE573FE" w14:textId="77777777" w:rsidR="0054357F" w:rsidRPr="00E352F5" w:rsidRDefault="0054357F" w:rsidP="005C3B3E">
            <w:pPr>
              <w:jc w:val="center"/>
              <w:rPr>
                <w:rFonts w:ascii="Times New Roman" w:hAnsi="Times New Roman" w:cs="Times New Roman"/>
                <w:b/>
                <w:bCs/>
                <w:sz w:val="20"/>
                <w:szCs w:val="20"/>
              </w:rPr>
            </w:pPr>
            <w:r>
              <w:rPr>
                <w:rFonts w:ascii="Times New Roman" w:hAnsi="Times New Roman" w:cs="Times New Roman"/>
                <w:b/>
                <w:bCs/>
                <w:sz w:val="20"/>
                <w:szCs w:val="20"/>
              </w:rPr>
              <w:fldChar w:fldCharType="begin" w:fldLock="1"/>
            </w:r>
            <w:r>
              <w:rPr>
                <w:rFonts w:ascii="Times New Roman" w:hAnsi="Times New Roman" w:cs="Times New Roman"/>
                <w:b/>
                <w:bCs/>
                <w:sz w:val="20"/>
                <w:szCs w:val="20"/>
              </w:rPr>
              <w:instrText>ADDIN CSL_CITATION {"citationItems":[{"id":"ITEM-1","itemData":{"DOI":"10.1177/0149206321993576","ISSN":"01492063 (ISSN)","abstract":"We start this article with the exploration of similarities between the resource-based view of the firm (RBV) and stakeholder theory at the time of their origination and then proceed with the conversation on what led to distinct developmental trajectories of the two theories. Though RBV has become a leading paradigm in the strategic management field, we argue that in its current form, RBV is yet incomplete. We suggest there are four aspects that stakeholder theory can offer to inform RBV: normativity, sustainability, people, and cooperation. Reconciling stakeholder theory and RBV is a promising path to advancing our understanding of management, and we provide a two-part guideline to management scholars and practitioners who would be willing to take this path. © The Author(s) 2021.","author":[{"dropping-particle":"","family":"Freeman","given":"R E","non-dropping-particle":"","parse-names":false,"suffix":""},{"dropping-particle":"","family":"Dmytriyev","given":"S D","non-dropping-particle":"","parse-names":false,"suffix":""},{"dropping-particle":"","family":"Phillips","given":"R A","non-dropping-particle":"","parse-names":false,"suffix":""}],"container-title":"Journal of Management","id":"ITEM-1","issue":"7","issued":{"date-parts":[["2021"]]},"language":"English","note":"Export Date: 07 February 2026; Cited By: 492; Correspondence Address: R.E. Freeman; University of Virginia, United States; email: freemane@darden.virginia.edu; CODEN: JOMAD","page":"1757-1770","publisher":"SAGE Publications Inc.","publisher-place":"University of Virginia, Charlottesville, VA, United States","title":"Stakeholder Theory and the Resource-Based View of the Firm","type":"article-journal","volume":"47"},"uris":["http://www.mendeley.com/documents/?uuid=b276a2a2-3271-4ec9-8f43-90c326d4cd34"]}],"mendeley":{"formattedCitation":"(Freeman et al., 2021)","plainTextFormattedCitation":"(Freeman et al., 2021)","previouslyFormattedCitation":"(Freeman et al., 2021)"},"properties":{"noteIndex":0},"schema":"https://github.com/citation-style-language/schema/raw/master/csl-citation.json"}</w:instrText>
            </w:r>
            <w:r>
              <w:rPr>
                <w:rFonts w:ascii="Times New Roman" w:hAnsi="Times New Roman" w:cs="Times New Roman"/>
                <w:b/>
                <w:bCs/>
                <w:sz w:val="20"/>
                <w:szCs w:val="20"/>
              </w:rPr>
              <w:fldChar w:fldCharType="separate"/>
            </w:r>
            <w:r w:rsidRPr="00225AE4">
              <w:rPr>
                <w:rFonts w:ascii="Times New Roman" w:hAnsi="Times New Roman" w:cs="Times New Roman"/>
                <w:bCs/>
                <w:noProof/>
                <w:sz w:val="20"/>
                <w:szCs w:val="20"/>
              </w:rPr>
              <w:t>(Freeman et al., 2021)</w:t>
            </w:r>
            <w:r>
              <w:rPr>
                <w:rFonts w:ascii="Times New Roman" w:hAnsi="Times New Roman" w:cs="Times New Roman"/>
                <w:b/>
                <w:bCs/>
                <w:sz w:val="20"/>
                <w:szCs w:val="20"/>
              </w:rPr>
              <w:fldChar w:fldCharType="end"/>
            </w:r>
          </w:p>
        </w:tc>
        <w:tc>
          <w:tcPr>
            <w:tcW w:w="4790" w:type="dxa"/>
            <w:shd w:val="clear" w:color="auto" w:fill="FFFFFF" w:themeFill="background1"/>
            <w:vAlign w:val="bottom"/>
          </w:tcPr>
          <w:p w14:paraId="439FDF7E" w14:textId="48125B83" w:rsidR="0054357F" w:rsidRPr="00E352F5" w:rsidRDefault="0054357F" w:rsidP="005C3B3E">
            <w:pPr>
              <w:jc w:val="both"/>
              <w:rPr>
                <w:rFonts w:ascii="Times New Roman" w:hAnsi="Times New Roman" w:cs="Times New Roman"/>
                <w:sz w:val="20"/>
                <w:szCs w:val="20"/>
              </w:rPr>
            </w:pPr>
            <w:r w:rsidRPr="0054357F">
              <w:rPr>
                <w:rFonts w:ascii="Times New Roman" w:hAnsi="Times New Roman" w:cs="Times New Roman"/>
                <w:sz w:val="20"/>
                <w:szCs w:val="20"/>
              </w:rPr>
              <w:t>Artikel ini menemukan bahwa Resource-Based View (RBV), meskipun dominan dalam manajemen strategis, masih belum lengkap secara teoretis. Integrasi dengan teori pemangku kepentingan (Stakeholder Theory) terbukti dapat memperkuat dan memperluas kerangka RBV secara signifikan</w:t>
            </w:r>
          </w:p>
        </w:tc>
        <w:tc>
          <w:tcPr>
            <w:tcW w:w="1872" w:type="dxa"/>
            <w:shd w:val="clear" w:color="auto" w:fill="FFFFFF" w:themeFill="background1"/>
            <w:vAlign w:val="center"/>
          </w:tcPr>
          <w:p w14:paraId="674DC74D"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t>492/Q1/8.636</w:t>
            </w:r>
          </w:p>
        </w:tc>
      </w:tr>
      <w:tr w:rsidR="0054357F" w14:paraId="5642477E" w14:textId="77777777" w:rsidTr="00F10249">
        <w:tc>
          <w:tcPr>
            <w:tcW w:w="461" w:type="dxa"/>
            <w:shd w:val="clear" w:color="auto" w:fill="FFFFFF" w:themeFill="background1"/>
          </w:tcPr>
          <w:p w14:paraId="17A41A77" w14:textId="77777777" w:rsidR="0054357F" w:rsidRPr="00E352F5" w:rsidRDefault="0054357F" w:rsidP="005C3B3E">
            <w:pPr>
              <w:jc w:val="center"/>
              <w:rPr>
                <w:rFonts w:ascii="Times New Roman" w:hAnsi="Times New Roman" w:cs="Times New Roman"/>
                <w:sz w:val="20"/>
                <w:szCs w:val="20"/>
              </w:rPr>
            </w:pPr>
            <w:r w:rsidRPr="00E352F5">
              <w:rPr>
                <w:rFonts w:ascii="Times New Roman" w:hAnsi="Times New Roman" w:cs="Times New Roman"/>
                <w:sz w:val="20"/>
                <w:szCs w:val="20"/>
              </w:rPr>
              <w:t>3</w:t>
            </w:r>
          </w:p>
        </w:tc>
        <w:tc>
          <w:tcPr>
            <w:tcW w:w="2086" w:type="dxa"/>
            <w:shd w:val="clear" w:color="auto" w:fill="FFFFFF" w:themeFill="background1"/>
          </w:tcPr>
          <w:p w14:paraId="0D97F431"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{"citationItems":[{"id":"ITEM-1","itemData":{"DOI":"10.1002/bse.2961","ISSN":"09644733 (ISSN)","abstract":"Green innovation could become a valuable firm resource for establishing competitive advantage while simultaneously contributing towards sustainable development; in other words, green innovation has the potential to address the dilemma between consuming available resources and preserving them for the future. However, there is a dearth of studies systematically examining the present structure and future scope of research on green innovation as a firm resource. Seeking to explain the sustainable development dilemma of green innovations through the theoretical perspective of the resource-based view of the firm, we address this gap with a comprehensive bibliometric analysis of 951 relevant articles. The key contributors to the extant literature are recognised with bibliographic coupling, citation analysis and co-authorship analysis. A co-citation analysis identifies four major thematic areas of research: green supply chain management, green product design, corporate environmental responsibilities and social sustainability. Further, a dynamic co-citation analysis tracks the progression of these thematic areas. Content analysis of the thematic areas provides insights into the status of the research domain. This study also contributes to the extant literature by identifying prestigious articles on green innovation as a firm resource, analysing the co-occurrence of keywords and suggesting future research agendas. © 2021 The Authors. Business Strategy and The Environment published by ERP Environment and John Wiley &amp; Sons Ltd.","author":[{"dropping-particle":"","family":"Khanra","given":"S","non-dropping-particle":"","parse-names":false,"suffix":""},{"dropping-particle":"","family":"Kaur","given":"P","non-dropping-particle":"","parse-names":false,"suffix":""},{"dropping-particle":"","family":"Joseph","given":"R P","non-dropping-particle":"","parse-names":false,"suffix":""},{"dropping-particle":"","family":"Malik","given":"A","non-dropping-particle":"","parse-names":false,"suffix":""},{"dropping-particle":"","family":"Dhir","given":"A","non-dropping-particle":"","parse-names":false,"suffix":""}],"container-title":"Business Strategy and the Environment","id":"ITEM-1","issue":"4","issued":{"date-parts":[["2022"]]},"language":"English","note":"Export Date: 07 February 2026; Cited By: 414; Correspondence Address: A. Dhir; Optentia Research Focus Area, North-West University, Vanderbijlpark, South Africa; email: amandeep.dhir@uia.no","page":"1395-1413","publisher":"John Wiley and Sons Ltd","publisher-place":"Shri Vile Parle Kelvani Mandal’s Narsee Monjee Institute of Management Studies (Deemed to be University), Mumbai, School of Business Management, Mumbai, MH, India","title":"A resource-based view of green innovation as a strategic firm resource: Present status and future directions","type":"article-journal","volume":"31"},"uris":["http://www.mendeley.com/documents/?uuid=4a37d5c6-940b-40f5-b7fd-1f83db70edc0"]}],"mendeley":{"formattedCitation":"(Khanra et al., 2022)","plainTextFormattedCitation":"(Khanra et al., 2022)","previouslyFormattedCitation":"(Khanra et al., 2022)"},"properties":{"noteIndex":0},"schema":"https://github.com/citation-style-language/schema/raw/master/csl-citation.json"}</w:instrText>
            </w:r>
            <w:r>
              <w:rPr>
                <w:rFonts w:ascii="Times New Roman" w:hAnsi="Times New Roman" w:cs="Times New Roman"/>
                <w:sz w:val="20"/>
                <w:szCs w:val="20"/>
              </w:rPr>
              <w:fldChar w:fldCharType="separate"/>
            </w:r>
            <w:r w:rsidRPr="00225AE4">
              <w:rPr>
                <w:rFonts w:ascii="Times New Roman" w:hAnsi="Times New Roman" w:cs="Times New Roman"/>
                <w:noProof/>
                <w:sz w:val="20"/>
                <w:szCs w:val="20"/>
              </w:rPr>
              <w:t>(Khanra et al., 2022)</w:t>
            </w:r>
            <w:r>
              <w:rPr>
                <w:rFonts w:ascii="Times New Roman" w:hAnsi="Times New Roman" w:cs="Times New Roman"/>
                <w:sz w:val="20"/>
                <w:szCs w:val="20"/>
              </w:rPr>
              <w:fldChar w:fldCharType="end"/>
            </w:r>
          </w:p>
        </w:tc>
        <w:tc>
          <w:tcPr>
            <w:tcW w:w="4790" w:type="dxa"/>
            <w:shd w:val="clear" w:color="auto" w:fill="FFFFFF" w:themeFill="background1"/>
            <w:vAlign w:val="bottom"/>
          </w:tcPr>
          <w:p w14:paraId="197FAEAE" w14:textId="41E850E3" w:rsidR="0054357F" w:rsidRPr="00E352F5" w:rsidRDefault="0054357F" w:rsidP="005C3B3E">
            <w:pPr>
              <w:jc w:val="both"/>
              <w:rPr>
                <w:rFonts w:ascii="Times New Roman" w:hAnsi="Times New Roman" w:cs="Times New Roman"/>
                <w:sz w:val="20"/>
                <w:szCs w:val="20"/>
              </w:rPr>
            </w:pPr>
            <w:r w:rsidRPr="0054357F">
              <w:rPr>
                <w:rFonts w:ascii="Times New Roman" w:hAnsi="Times New Roman" w:cs="Times New Roman"/>
                <w:sz w:val="20"/>
                <w:szCs w:val="20"/>
              </w:rPr>
              <w:t>Penelitian ini menunjukkan bahwa inovasi hijau dapat dipahami sebagai sumber daya strategis perusahaan dalam kerangka RBV, yang mampu secara simultan menciptakan keunggulan kompetitif dan mendukung pembangunan berkelanjutan. Literatur yang ada dikelompokkan ke dalam empat tema utama, yaitu manajemen rantai pasok hijau, desain produk hijau, tanggung jawab lingkungan perusahaan, dan keberlanjutan sosial, yang mencerminkan struktur intelektual serta arah penelitian masa depan</w:t>
            </w:r>
            <w:r w:rsidRPr="00646F17">
              <w:rPr>
                <w:rFonts w:ascii="Times New Roman" w:hAnsi="Times New Roman" w:cs="Times New Roman"/>
                <w:sz w:val="20"/>
                <w:szCs w:val="20"/>
              </w:rPr>
              <w:t>.</w:t>
            </w:r>
          </w:p>
        </w:tc>
        <w:tc>
          <w:tcPr>
            <w:tcW w:w="1872" w:type="dxa"/>
            <w:shd w:val="clear" w:color="auto" w:fill="FFFFFF" w:themeFill="background1"/>
            <w:vAlign w:val="center"/>
          </w:tcPr>
          <w:p w14:paraId="525D0980"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t>414/3.609/Q1</w:t>
            </w:r>
          </w:p>
        </w:tc>
      </w:tr>
      <w:tr w:rsidR="0054357F" w14:paraId="02830FD9" w14:textId="77777777" w:rsidTr="00F10249">
        <w:tc>
          <w:tcPr>
            <w:tcW w:w="461" w:type="dxa"/>
            <w:shd w:val="clear" w:color="auto" w:fill="FFFFFF" w:themeFill="background1"/>
          </w:tcPr>
          <w:p w14:paraId="47BD9E5D" w14:textId="77777777" w:rsidR="0054357F" w:rsidRPr="00E352F5" w:rsidRDefault="0054357F" w:rsidP="005C3B3E">
            <w:pPr>
              <w:jc w:val="center"/>
              <w:rPr>
                <w:rFonts w:ascii="Times New Roman" w:hAnsi="Times New Roman" w:cs="Times New Roman"/>
                <w:sz w:val="20"/>
                <w:szCs w:val="20"/>
              </w:rPr>
            </w:pPr>
            <w:r w:rsidRPr="00E352F5">
              <w:rPr>
                <w:rFonts w:ascii="Times New Roman" w:hAnsi="Times New Roman" w:cs="Times New Roman"/>
                <w:sz w:val="20"/>
                <w:szCs w:val="20"/>
              </w:rPr>
              <w:t>4</w:t>
            </w:r>
          </w:p>
        </w:tc>
        <w:tc>
          <w:tcPr>
            <w:tcW w:w="2086" w:type="dxa"/>
            <w:shd w:val="clear" w:color="auto" w:fill="FFFFFF" w:themeFill="background1"/>
          </w:tcPr>
          <w:p w14:paraId="50713DB6"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{"citationItems":[{"id":"ITEM-1","itemData":{"DOI":"10.1016/j.technovation.2021.102254","ISSN":"01664972 (ISSN)","abstract":"The resource-based view (RBV) of the firm has been used to examine the role of resources and capabilities in product innovation and how product innovation is related to overall firm performance. Moreover, the natural RBV (NRBV) has addressed how resources affect the natural environment, whereas the relational RBV has highlighted the importance of relational resources, that is, resources shared with stakeholders outside the focal firm. In order to consider these extensions of the RBV in product innovation, this article applies a relational NRBV (RNRBV) on product innovation. Using data from 305 Swedish small manufacturing firms, structural equation modeling is used to examine the relationships between green product innovation (GPI), differentiation advantage and firm performance, and how these relationships are influenced by a relational resource in terms of green suppliers. The results demonstrate that GPI affects differentiation advantage and that this relationship is strengthened by having green suppliers. The article offers a RNRBV on product innovation and illustrates the importance of incorporating additional dependent variables other than aggregated performance measures when researching GPI. Moreover, the study shows that green suppliers can provide important products and complementary resources in order for the focal firm to fully realize its GPI capability. © 2021 The Author(s)","author":[{"dropping-particle":"","family":"Andersén","given":"J","non-dropping-particle":"","parse-names":false,"suffix":""}],"container-title":"Technovation","id":"ITEM-1","issued":{"date-parts":[["2021"]]},"language":"English","note":"Export Date: 07 February 2026; Cited By: 268; CODEN: TNVTD","publisher":"Elsevier Ltd","publisher-place":"Högskolan i Skövde, School of Business, Skovde, Vastra Gotaland, Sweden","title":"A relational natural-resource-based view on product innovation: The influence of green product innovation and green suppliers on differentiation advantage in small manufacturing firms","type":"article-journal","volume":"104"},"uris":["http://www.mendeley.com/documents/?uuid=6943f0ca-d784-4b0a-98d4-ec721af276f8"]}],"mendeley":{"formattedCitation":"(Andersén, 2021)","plainTextFormattedCitation":"(Andersén, 2021)","previouslyFormattedCitation":"(Andersén, 2021)"},"properties":{"noteIndex":0},"schema":"https://github.com/citation-style-language/schema/raw/master/csl-citation.json"}</w:instrText>
            </w:r>
            <w:r>
              <w:rPr>
                <w:rFonts w:ascii="Times New Roman" w:hAnsi="Times New Roman" w:cs="Times New Roman"/>
                <w:sz w:val="20"/>
                <w:szCs w:val="20"/>
              </w:rPr>
              <w:fldChar w:fldCharType="separate"/>
            </w:r>
            <w:r w:rsidRPr="00646F17">
              <w:rPr>
                <w:rFonts w:ascii="Times New Roman" w:hAnsi="Times New Roman" w:cs="Times New Roman"/>
                <w:noProof/>
                <w:sz w:val="20"/>
                <w:szCs w:val="20"/>
              </w:rPr>
              <w:t>(Andersén, 2021)</w:t>
            </w:r>
            <w:r>
              <w:rPr>
                <w:rFonts w:ascii="Times New Roman" w:hAnsi="Times New Roman" w:cs="Times New Roman"/>
                <w:sz w:val="20"/>
                <w:szCs w:val="20"/>
              </w:rPr>
              <w:fldChar w:fldCharType="end"/>
            </w:r>
          </w:p>
        </w:tc>
        <w:tc>
          <w:tcPr>
            <w:tcW w:w="4790" w:type="dxa"/>
            <w:shd w:val="clear" w:color="auto" w:fill="FFFFFF" w:themeFill="background1"/>
            <w:vAlign w:val="bottom"/>
          </w:tcPr>
          <w:p w14:paraId="2359467C" w14:textId="38A28661" w:rsidR="0054357F" w:rsidRPr="00E352F5" w:rsidRDefault="0054357F" w:rsidP="005C3B3E">
            <w:pPr>
              <w:jc w:val="both"/>
              <w:rPr>
                <w:rFonts w:ascii="Times New Roman" w:hAnsi="Times New Roman" w:cs="Times New Roman"/>
                <w:sz w:val="20"/>
                <w:szCs w:val="20"/>
              </w:rPr>
            </w:pPr>
            <w:r w:rsidRPr="0054357F">
              <w:rPr>
                <w:rFonts w:ascii="Times New Roman" w:hAnsi="Times New Roman" w:cs="Times New Roman"/>
                <w:sz w:val="20"/>
                <w:szCs w:val="20"/>
              </w:rPr>
              <w:t>Studi ini menemukan bahwa inovasi produk hijau meningkatkan kinerja perusahaan secara tidak langsung melalui penciptaan keunggulan diferensiasi. Pengaruh ini diperkuat secara signifikan ketika perusahaan memiliki sumber daya relasional berupa pemasok hijau. Dengan menggunakan Relational Natural Resource-Based View (RNRBV), penelitian ini menunjukkan bahwa hubungan dengan pemangku kepentingan eksternal sangat penting untuk memaksimalkan nilai inovasi hijau</w:t>
            </w:r>
          </w:p>
        </w:tc>
        <w:tc>
          <w:tcPr>
            <w:tcW w:w="1872" w:type="dxa"/>
            <w:shd w:val="clear" w:color="auto" w:fill="FFFFFF" w:themeFill="background1"/>
            <w:vAlign w:val="center"/>
          </w:tcPr>
          <w:p w14:paraId="32F1D4F2"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t>268/Q1/3.308</w:t>
            </w:r>
          </w:p>
        </w:tc>
      </w:tr>
      <w:tr w:rsidR="0054357F" w14:paraId="04F8E05F" w14:textId="77777777" w:rsidTr="00F10249">
        <w:tc>
          <w:tcPr>
            <w:tcW w:w="461" w:type="dxa"/>
            <w:shd w:val="clear" w:color="auto" w:fill="FFFFFF" w:themeFill="background1"/>
          </w:tcPr>
          <w:p w14:paraId="7903B9B1" w14:textId="77777777" w:rsidR="0054357F" w:rsidRPr="00E352F5" w:rsidRDefault="0054357F" w:rsidP="005C3B3E">
            <w:pPr>
              <w:jc w:val="center"/>
              <w:rPr>
                <w:rFonts w:ascii="Times New Roman" w:hAnsi="Times New Roman" w:cs="Times New Roman"/>
                <w:sz w:val="20"/>
                <w:szCs w:val="20"/>
              </w:rPr>
            </w:pPr>
            <w:r w:rsidRPr="00E352F5">
              <w:rPr>
                <w:rFonts w:ascii="Times New Roman" w:hAnsi="Times New Roman" w:cs="Times New Roman"/>
                <w:sz w:val="20"/>
                <w:szCs w:val="20"/>
              </w:rPr>
              <w:t>5</w:t>
            </w:r>
          </w:p>
        </w:tc>
        <w:tc>
          <w:tcPr>
            <w:tcW w:w="2086" w:type="dxa"/>
            <w:shd w:val="clear" w:color="auto" w:fill="FFFFFF" w:themeFill="background1"/>
          </w:tcPr>
          <w:p w14:paraId="1EF7AE8C"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{"citationItems":[{"id":"ITEM-1","itemData":{"DOI":"10.1177/01492063211018505","ISSN":"01492063 (ISSN)","abstract":"The resource-based view (RBV) provides a rich framework for analyzing the role of a firm’s tangible and intangible resources in creating and sustaining competitive advantage. As a result, it has been widely used to explain entrepreneurial firms’ strategic choices that generate such an advantage. While researchers have established the usefulness of the RBV, they have overlooked the fundamental question of how entrepreneurial firms manage their resources to gain competitive advantage. This paper examines this issue in the context of independently owned startups, which typically lack resources, are constrained in their access to key resource providers, and have limited experience in assembling and managing resources. Adopting a broader conceptualization of startups’ resource management process, the paper identifies several questionable assumptions in related RBV-based research. Further, recognizing the limits of RBV to determine ex ante the nature and magnitude of entrepreneurs’ resourcefulness when managing their resources, the paper suggests linkages between the RBV and several entrepreneurship frameworks and outlines promising research questions. © The Author(s) 2021.","author":[{"dropping-particle":"","family":"Zahra","given":"S A","non-dropping-particle":"","parse-names":false,"suffix":""}],"container-title":"Journal of Management","id":"ITEM-1","issue":"7","issued":{"date-parts":[["2021"]]},"language":"English","note":"Export Date: 07 February 2026; Cited By: 251; Correspondence Address: S.A. Zahra; University of Minnesota, United States; email: zahra004@umn.edu; CODEN: JOMAD","page":"1841-1860","publisher":"SAGE Publications Inc.","publisher-place":"University of Minnesota Twin Cities, Minneapolis, MN, United States","title":"The Resource-Based View, Resourcefulness, and Resource Management in Startup Firms: A Proposed Research Agenda","type":"article-journal","volume":"47"},"uris":["http://www.mendeley.com/documents/?uuid=917eca64-a431-4958-bbbb-2d6a8477d79a"]}],"mendeley":{"formattedCitation":"(Zahra, 2021)","plainTextFormattedCitation":"(Zahra, 2021)","previouslyFormattedCitation":"(Zahra, 2021)"},"properties":{"noteIndex":0},"schema":"https://github.com/citation-style-language/schema/raw/master/csl-citation.json"}</w:instrText>
            </w:r>
            <w:r>
              <w:rPr>
                <w:rFonts w:ascii="Times New Roman" w:hAnsi="Times New Roman" w:cs="Times New Roman"/>
                <w:sz w:val="20"/>
                <w:szCs w:val="20"/>
              </w:rPr>
              <w:fldChar w:fldCharType="separate"/>
            </w:r>
            <w:r w:rsidRPr="00646F17">
              <w:rPr>
                <w:rFonts w:ascii="Times New Roman" w:hAnsi="Times New Roman" w:cs="Times New Roman"/>
                <w:noProof/>
                <w:sz w:val="20"/>
                <w:szCs w:val="20"/>
              </w:rPr>
              <w:t>(Zahra, 2021)</w:t>
            </w:r>
            <w:r>
              <w:rPr>
                <w:rFonts w:ascii="Times New Roman" w:hAnsi="Times New Roman" w:cs="Times New Roman"/>
                <w:sz w:val="20"/>
                <w:szCs w:val="20"/>
              </w:rPr>
              <w:fldChar w:fldCharType="end"/>
            </w:r>
          </w:p>
        </w:tc>
        <w:tc>
          <w:tcPr>
            <w:tcW w:w="4790" w:type="dxa"/>
            <w:shd w:val="clear" w:color="auto" w:fill="FFFFFF" w:themeFill="background1"/>
            <w:vAlign w:val="bottom"/>
          </w:tcPr>
          <w:p w14:paraId="1EEFE2FD" w14:textId="0DA8E21C" w:rsidR="0054357F" w:rsidRPr="00E352F5" w:rsidRDefault="0054357F" w:rsidP="005C3B3E">
            <w:pPr>
              <w:jc w:val="both"/>
              <w:rPr>
                <w:rFonts w:ascii="Times New Roman" w:hAnsi="Times New Roman" w:cs="Times New Roman"/>
                <w:sz w:val="20"/>
                <w:szCs w:val="20"/>
              </w:rPr>
            </w:pPr>
            <w:r w:rsidRPr="0054357F">
              <w:rPr>
                <w:rFonts w:ascii="Times New Roman" w:hAnsi="Times New Roman" w:cs="Times New Roman"/>
                <w:sz w:val="20"/>
                <w:szCs w:val="20"/>
              </w:rPr>
              <w:t>Penelitian ini menyimpulkan bahwa RBV tradisional tidak memadai untuk menjelaskan bagaimana perusahaan rintisan kewirausahaan mengelola sumber daya yang terbatas dan langka untuk mencapai keunggulan kompetitif. RBV dinilai terlalu bergantung pada asumsi ketersediaan dan prediktabilitas sumber daya. Oleh karena itu, pemahaman keunggulan kompetitif wirausaha memerlukan integrasi RBV dengan kerangka kewirausahaan yang menekankan improvisasi dan pengelolaan sumber daya secara dinamis dalam kondisi ketidakpastian</w:t>
            </w:r>
          </w:p>
        </w:tc>
        <w:tc>
          <w:tcPr>
            <w:tcW w:w="1872" w:type="dxa"/>
            <w:shd w:val="clear" w:color="auto" w:fill="FFFFFF" w:themeFill="background1"/>
            <w:vAlign w:val="center"/>
          </w:tcPr>
          <w:p w14:paraId="73E3CB3D"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t>251/ Q1/8.636</w:t>
            </w:r>
          </w:p>
        </w:tc>
      </w:tr>
      <w:tr w:rsidR="0054357F" w14:paraId="1B9B2137" w14:textId="77777777" w:rsidTr="00F10249">
        <w:tc>
          <w:tcPr>
            <w:tcW w:w="461" w:type="dxa"/>
            <w:shd w:val="clear" w:color="auto" w:fill="FFFFFF" w:themeFill="background1"/>
          </w:tcPr>
          <w:p w14:paraId="5AC43DB4" w14:textId="77777777" w:rsidR="0054357F" w:rsidRPr="00E352F5" w:rsidRDefault="0054357F" w:rsidP="005C3B3E">
            <w:pPr>
              <w:jc w:val="center"/>
              <w:rPr>
                <w:rFonts w:ascii="Times New Roman" w:hAnsi="Times New Roman" w:cs="Times New Roman"/>
                <w:sz w:val="20"/>
                <w:szCs w:val="20"/>
              </w:rPr>
            </w:pPr>
            <w:r w:rsidRPr="00E352F5">
              <w:rPr>
                <w:rFonts w:ascii="Times New Roman" w:hAnsi="Times New Roman" w:cs="Times New Roman"/>
                <w:sz w:val="20"/>
                <w:szCs w:val="20"/>
              </w:rPr>
              <w:t>6</w:t>
            </w:r>
          </w:p>
        </w:tc>
        <w:tc>
          <w:tcPr>
            <w:tcW w:w="2086" w:type="dxa"/>
            <w:shd w:val="clear" w:color="auto" w:fill="FFFFFF" w:themeFill="background1"/>
          </w:tcPr>
          <w:p w14:paraId="35800E23"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{"citationItems":[{"id":"ITEM-1","itemData":{"DOI":"10.1007/s10551-016-3344-y","ISSN":"01674544 (ISSN)","abstract":"While the economic and environmental dimensions of the triple bottom line (TBL) have been covered extensively by management theory and practice, the social dimension remains largely underrepresented. The resource-based view (RBV) of the firm and the natural resource-based view (NRBV) of the firm are revisited to lay the theoretical foundation for exploring how the social dimension might be addressed. Social capabilities are then explored by looking at the social entrepreneurship literature and illustrative cases with the purpose of elaborating RBV toward a social resource-based view (SRBV) of the firm. Three illustrative cases, which represent social businesses located in catastrophe-ridden Haiti, show how capabilities are used to overcome challenging constraints. The goal for the social entrepreneur is to employ the appropriate capabilities to ensure economic success, a positive environmental impact, and social benefits that leave the local community in a better position than without the business. Just as NRBV is a previous elaboration of RBV, so can SRBV be an elaborated theoretical foundation for future research. The components of a theory are systematically addressed by extending the range of variables (adding social capabilities), extending the domain (including stakeholders with economic, environmental, and/or social stakes), and offering propositions on variable relationships and outcome predictions (linking social capabilities and shared TBL value creation). By highlighting the social capabilities of social entrepreneurs, this research illuminates the micro-foundations of corporate social responsibility, emphasizing the value of individual level analyses. © 2016, Springer Science+Business Media Dordrecht.","author":[{"dropping-particle":"","family":"Tate","given":"W L","non-dropping-particle":"","parse-names":false,"suffix":""},{"dropping-particle":"","family":"Bals","given":"L","non-dropping-particle":"","parse-names":false,"suffix":""}],"container-title":"Journal of Business Ethics","id":"ITEM-1","issue":"3","issued":{"date-parts":[["2018"]]},"language":"English","note":"Export Date: 07 February 2026; Cited By: 250; Correspondence Address: L. Bals; University of Applied Sciences Mainz, Mainz, Lucy-Hillebrand-Str. 2, 55128, Germany; email: lydia.bals@hs-mainz.de","page":"803-826","publisher":"Springer Netherlands rbk@louisiana.edu","publisher-place":"The University of Tennessee, Knoxville, Knoxville, TN, United States","title":"Achieving Shared Triple Bottom Line (TBL) Value Creation: Toward a Social Resource-Based View (SRBV) of the Firm","type":"article-journal","volume":"152"},"uris":["http://www.mendeley.com/documents/?uuid=72b92471-4e72-45c8-a8a5-04113745eed3"]}],"mendeley":{"formattedCitation":"(Tate &amp; Bals, 2018)","plainTextFormattedCitation":"(Tate &amp; Bals, 2018)","previouslyFormattedCitation":"(Tate &amp; Bals, 2018)"},"properties":{"noteIndex":0},"schema":"https://github.com/citation-style-language/schema/raw/master/csl-citation.json"}</w:instrText>
            </w:r>
            <w:r>
              <w:rPr>
                <w:rFonts w:ascii="Times New Roman" w:hAnsi="Times New Roman" w:cs="Times New Roman"/>
                <w:sz w:val="20"/>
                <w:szCs w:val="20"/>
              </w:rPr>
              <w:fldChar w:fldCharType="separate"/>
            </w:r>
            <w:r w:rsidRPr="00103A7D">
              <w:rPr>
                <w:rFonts w:ascii="Times New Roman" w:hAnsi="Times New Roman" w:cs="Times New Roman"/>
                <w:noProof/>
                <w:sz w:val="20"/>
                <w:szCs w:val="20"/>
              </w:rPr>
              <w:t>(Tate &amp; Bals, 2018)</w:t>
            </w:r>
            <w:r>
              <w:rPr>
                <w:rFonts w:ascii="Times New Roman" w:hAnsi="Times New Roman" w:cs="Times New Roman"/>
                <w:sz w:val="20"/>
                <w:szCs w:val="20"/>
              </w:rPr>
              <w:fldChar w:fldCharType="end"/>
            </w:r>
          </w:p>
        </w:tc>
        <w:tc>
          <w:tcPr>
            <w:tcW w:w="4790" w:type="dxa"/>
            <w:shd w:val="clear" w:color="auto" w:fill="FFFFFF" w:themeFill="background1"/>
            <w:vAlign w:val="bottom"/>
          </w:tcPr>
          <w:p w14:paraId="0CAB3633" w14:textId="20ABA26A" w:rsidR="0054357F" w:rsidRPr="00E352F5" w:rsidRDefault="0054357F" w:rsidP="005C3B3E">
            <w:pPr>
              <w:jc w:val="both"/>
              <w:rPr>
                <w:rFonts w:ascii="Times New Roman" w:hAnsi="Times New Roman" w:cs="Times New Roman"/>
                <w:sz w:val="20"/>
                <w:szCs w:val="20"/>
              </w:rPr>
            </w:pPr>
            <w:r w:rsidRPr="0054357F">
              <w:rPr>
                <w:rFonts w:ascii="Times New Roman" w:hAnsi="Times New Roman" w:cs="Times New Roman"/>
                <w:sz w:val="20"/>
                <w:szCs w:val="20"/>
              </w:rPr>
              <w:t xml:space="preserve">Studi ini menemukan bahwa RBV dan Natural Resource-Based View (NRBV) dapat diperluas untuk memasukkan dimensi sosial dari Triple Bottom Line melalui Social Resource-Based View (SRBV). Kapabilitas sosial yang dikembangkan oleh wirausahawan sosial terbukti </w:t>
            </w:r>
            <w:r w:rsidRPr="0054357F">
              <w:rPr>
                <w:rFonts w:ascii="Times New Roman" w:hAnsi="Times New Roman" w:cs="Times New Roman"/>
                <w:sz w:val="20"/>
                <w:szCs w:val="20"/>
              </w:rPr>
              <w:lastRenderedPageBreak/>
              <w:t>menjadi sumber daya penting yang memungkinkan perusahaan mencapai kelayakan ekonomi, dampak lingkungan positif, dan nilai sosial secara bersamaan, bahkan dalam kondisi keterbatasan ekstrem</w:t>
            </w:r>
          </w:p>
        </w:tc>
        <w:tc>
          <w:tcPr>
            <w:tcW w:w="1872" w:type="dxa"/>
            <w:shd w:val="clear" w:color="auto" w:fill="FFFFFF" w:themeFill="background1"/>
            <w:vAlign w:val="center"/>
          </w:tcPr>
          <w:p w14:paraId="1F4B0212"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lastRenderedPageBreak/>
              <w:t>250/Q1/3.039</w:t>
            </w:r>
          </w:p>
        </w:tc>
      </w:tr>
      <w:tr w:rsidR="0054357F" w14:paraId="2497B736" w14:textId="77777777" w:rsidTr="00F10249">
        <w:tc>
          <w:tcPr>
            <w:tcW w:w="461" w:type="dxa"/>
            <w:shd w:val="clear" w:color="auto" w:fill="FFFFFF" w:themeFill="background1"/>
          </w:tcPr>
          <w:p w14:paraId="2956090F" w14:textId="77777777" w:rsidR="0054357F" w:rsidRPr="00E352F5" w:rsidRDefault="0054357F" w:rsidP="005C3B3E">
            <w:pPr>
              <w:jc w:val="center"/>
              <w:rPr>
                <w:rFonts w:ascii="Times New Roman" w:hAnsi="Times New Roman" w:cs="Times New Roman"/>
                <w:sz w:val="20"/>
                <w:szCs w:val="20"/>
              </w:rPr>
            </w:pPr>
            <w:r w:rsidRPr="00E352F5">
              <w:rPr>
                <w:rFonts w:ascii="Times New Roman" w:hAnsi="Times New Roman" w:cs="Times New Roman"/>
                <w:sz w:val="20"/>
                <w:szCs w:val="20"/>
              </w:rPr>
              <w:lastRenderedPageBreak/>
              <w:t>7</w:t>
            </w:r>
          </w:p>
        </w:tc>
        <w:tc>
          <w:tcPr>
            <w:tcW w:w="2086" w:type="dxa"/>
            <w:shd w:val="clear" w:color="auto" w:fill="FFFFFF" w:themeFill="background1"/>
          </w:tcPr>
          <w:p w14:paraId="64A64243"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{"citationItems":[{"id":"ITEM-1","itemData":{"DOI":"10.1007/s10479-017-2706-x","ISSN":"02545330 (ISSN)","abstract":"The long-term viability of an organization hinges on social, environmental, and economic measures. However, based on extensive review of the literature, we have observed that measuring and improving the sustainable performance of supply chains is complex. We have grounded our theoretical framework in institutional theory and resource-based view and drawn thirteen hypotheses. We developed our instrument scientifically to validate our model and test our research hypotheses. The data was collected from the Indian auto components industry following Dillman’s total design test method. We gathered 205 usable responses. Following Peng and Lai’s (J Oper Manag 30(6):467–480, 2012) arguments, we have tested our model using variance-based structural equation modeling (PLS-SEM). We found that the constructs used for building our theoretical model possess construct validity and further satisfy the specified criteria for goodness of fit. The hypotheses test further suggests that coercive pressures under the mediation effect of top management belief and participation have significant influence on resource selection (i.e. supply chain connectivity and supply chain information sharing). The supply chain connectivity and supply chain information sharing have significant influence on environmental performance. Contrary to our belief, the normative and mimetic pressures have no significant influence on top management participation. The managerial implications of the findings are also discussed. © 2017, Springer Science+Business Media, LLC, part of Springer Nature.","author":[{"dropping-particle":"","family":"Shibin","given":"K T","non-dropping-particle":"","parse-names":false,"suffix":""},{"dropping-particle":"","family":"Dubey","given":"R","non-dropping-particle":"","parse-names":false,"suffix":""},{"dropping-particle":"","family":"Gunasekaran","given":"A","non-dropping-particle":"","parse-names":false,"suffix":""},{"dropping-particle":"","family":"Hazen","given":"B","non-dropping-particle":"","parse-names":false,"suffix":""},{"dropping-particle":"","family":"Roubaud","given":"D","non-dropping-particle":"","parse-names":false,"suffix":""},{"dropping-particle":"","family":"Gupta","given":"S","non-dropping-particle":"","parse-names":false,"suffix":""},{"dropping-particle":"","family":"Foropon","given":"C","non-dropping-particle":"","parse-names":false,"suffix":""}],"container-title":"Annals of Operations Research","id":"ITEM-1","issue":"1-2","issued":{"date-parts":[["2020"]]},"language":"English","note":"Export Date: 07 February 2026; Cited By: 239; Correspondence Address: A. Gunasekaran; School of Business and Public Administration, California State University, Bakersfield, Bakersfield, 9001 Stockdale Highway, 93311-1022, United States; email: agunasekaran@csub.edu","page":"301-326","publisher":"Springer","publisher-place":"Symbiosis International (Deemed University), Pune, MH, India","title":"Examining sustainable supply chain management of SMEs using resource based view and institutional theory","type":"article-journal","volume":"290"},"uris":["http://www.mendeley.com/documents/?uuid=5df38ba5-8d9e-4520-9434-34e689671b1f"]}],"mendeley":{"formattedCitation":"(Shibin et al., 2020)","plainTextFormattedCitation":"(Shibin et al., 2020)","previouslyFormattedCitation":"(Shibin et al., 2020)"},"properties":{"noteIndex":0},"schema":"https://github.com/citation-style-language/schema/raw/master/csl-citation.json"}</w:instrText>
            </w:r>
            <w:r>
              <w:rPr>
                <w:rFonts w:ascii="Times New Roman" w:hAnsi="Times New Roman" w:cs="Times New Roman"/>
                <w:sz w:val="20"/>
                <w:szCs w:val="20"/>
              </w:rPr>
              <w:fldChar w:fldCharType="separate"/>
            </w:r>
            <w:r w:rsidRPr="00103A7D">
              <w:rPr>
                <w:rFonts w:ascii="Times New Roman" w:hAnsi="Times New Roman" w:cs="Times New Roman"/>
                <w:noProof/>
                <w:sz w:val="20"/>
                <w:szCs w:val="20"/>
              </w:rPr>
              <w:t>(Shibin et al., 2020)</w:t>
            </w:r>
            <w:r>
              <w:rPr>
                <w:rFonts w:ascii="Times New Roman" w:hAnsi="Times New Roman" w:cs="Times New Roman"/>
                <w:sz w:val="20"/>
                <w:szCs w:val="20"/>
              </w:rPr>
              <w:fldChar w:fldCharType="end"/>
            </w:r>
          </w:p>
        </w:tc>
        <w:tc>
          <w:tcPr>
            <w:tcW w:w="4790" w:type="dxa"/>
            <w:shd w:val="clear" w:color="auto" w:fill="FFFFFF" w:themeFill="background1"/>
            <w:vAlign w:val="bottom"/>
          </w:tcPr>
          <w:p w14:paraId="5948FEEC" w14:textId="675C3852" w:rsidR="0054357F" w:rsidRPr="00E352F5" w:rsidRDefault="0054357F" w:rsidP="005C3B3E">
            <w:pPr>
              <w:jc w:val="both"/>
              <w:rPr>
                <w:rFonts w:ascii="Times New Roman" w:hAnsi="Times New Roman" w:cs="Times New Roman"/>
                <w:sz w:val="20"/>
                <w:szCs w:val="20"/>
              </w:rPr>
            </w:pPr>
            <w:r w:rsidRPr="0054357F">
              <w:rPr>
                <w:rFonts w:ascii="Times New Roman" w:hAnsi="Times New Roman" w:cs="Times New Roman"/>
                <w:sz w:val="20"/>
                <w:szCs w:val="20"/>
              </w:rPr>
              <w:t>Hasil penelitian menunjukkan bahwa konstruk dalam model teoretis memiliki validitas konstruk dan memenuhi kriteria goodness of fit. Tekanan koersif yang dimediasi oleh keyakinan dan partisipasi manajemen puncak berpengaruh signifikan terhadap pemilihan sumber daya, khususnya konektivitas rantai pasok dan berbagi informasi rantai pasok. Kedua faktor tersebut berdampak signifikan pada kinerja lingkungan, sementara tekanan normatif dan mimetik tidak berpengaruh signifikan terhadap partisipasi manajemen puncak</w:t>
            </w:r>
          </w:p>
        </w:tc>
        <w:tc>
          <w:tcPr>
            <w:tcW w:w="1872" w:type="dxa"/>
            <w:shd w:val="clear" w:color="auto" w:fill="FFFFFF" w:themeFill="background1"/>
            <w:vAlign w:val="center"/>
          </w:tcPr>
          <w:p w14:paraId="606883DE"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t>239/Q1/1.092</w:t>
            </w:r>
          </w:p>
        </w:tc>
      </w:tr>
      <w:tr w:rsidR="0054357F" w14:paraId="403CC893" w14:textId="77777777" w:rsidTr="00F10249">
        <w:tc>
          <w:tcPr>
            <w:tcW w:w="461" w:type="dxa"/>
            <w:shd w:val="clear" w:color="auto" w:fill="FFFFFF" w:themeFill="background1"/>
          </w:tcPr>
          <w:p w14:paraId="6B5C6B1B" w14:textId="77777777" w:rsidR="0054357F" w:rsidRPr="00E352F5" w:rsidRDefault="0054357F" w:rsidP="005C3B3E">
            <w:pPr>
              <w:jc w:val="center"/>
              <w:rPr>
                <w:rFonts w:ascii="Times New Roman" w:hAnsi="Times New Roman" w:cs="Times New Roman"/>
                <w:sz w:val="20"/>
                <w:szCs w:val="20"/>
              </w:rPr>
            </w:pPr>
            <w:r w:rsidRPr="00E352F5">
              <w:rPr>
                <w:rFonts w:ascii="Times New Roman" w:hAnsi="Times New Roman" w:cs="Times New Roman"/>
                <w:sz w:val="20"/>
                <w:szCs w:val="20"/>
              </w:rPr>
              <w:t>8</w:t>
            </w:r>
          </w:p>
        </w:tc>
        <w:tc>
          <w:tcPr>
            <w:tcW w:w="2086" w:type="dxa"/>
            <w:shd w:val="clear" w:color="auto" w:fill="FFFFFF" w:themeFill="background1"/>
          </w:tcPr>
          <w:p w14:paraId="5385D881"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{"citationItems":[{"id":"ITEM-1","itemData":{"DOI":"10.1002/bse.2967","ISSN":"09644733 (ISSN)","abstract":"The main research question of the study is this: Is the firm embedded into ecology, society, and governance (ESG), or vice versa? Using the resource-based view as a theoretical lens, and stakeholder capitalism as a paradigm anchored in the Dashgupat Review, we demonstrate in a panel data over 26 years that at the firm level, the relationship between sustained competitive advantage and the ESG footprint is concave shaped, and the impact inequality multiple gaps of the ESG footprint are 4.75 times the providing capacity of the natural and business environment. To solve the common method variance, endogeneity, and unobserved heterogeneity, system GMM is used as a method in a dataset of US manufacturing firms from 1992 to 2019. At the end, we argue that extant attributes of a resource base for sustained competitive advantage have an inherent flaw anchored in the resource-based view, as they ignore the “environmental, social, and governance (ESG) friendliness” attribute of a resource. Managers need to rethink the objective of their firms if they want to survive in the new ESG-friendly economy with stakeholder supremacy. © 2022 The Authors. Business Strategy and The Environment published by ERP Environment and John Wiley &amp; Sons Ltd.","author":[{"dropping-particle":"","family":"Bhandari","given":"K R","non-dropping-particle":"","parse-names":false,"suffix":""},{"dropping-particle":"","family":"Ranta","given":"M","non-dropping-particle":"","parse-names":false,"suffix":""},{"dropping-particle":"","family":"Salo","given":"J","non-dropping-particle":"","parse-names":false,"suffix":""}],"container-title":"Business Strategy and the Environment","id":"ITEM-1","issue":"4","issued":{"date-parts":[["2022"]]},"language":"English","note":"Export Date: 07 February 2026; Cited By: 210; Correspondence Address: K.R. Bhandari; Department of Economics and Management, University of Helsinki, Helsinki, Finland; email: krishna.bhandari@helsinki.fi","page":"1525-1537","publisher":"John Wiley and Sons Ltd","publisher-place":"Helsingin Yliopisto, Department of Economics and Management, Helsinki, Uusimaa, Finland","title":"The resource-based view, stakeholder capitalism, ESG, and sustainable competitive advantage: The firm's embeddedness into ecology, society, and governance","type":"article-journal","volume":"31"},"uris":["http://www.mendeley.com/documents/?uuid=60f2adea-ce6b-4599-834a-08588632de0a"]}],"mendeley":{"formattedCitation":"(Bhandari et al., 2022)","plainTextFormattedCitation":"(Bhandari et al., 2022)","previouslyFormattedCitation":"(Bhandari et al., 2022)"},"properties":{"noteIndex":0},"schema":"https://github.com/citation-style-language/schema/raw/master/csl-citation.json"}</w:instrText>
            </w:r>
            <w:r>
              <w:rPr>
                <w:rFonts w:ascii="Times New Roman" w:hAnsi="Times New Roman" w:cs="Times New Roman"/>
                <w:sz w:val="20"/>
                <w:szCs w:val="20"/>
              </w:rPr>
              <w:fldChar w:fldCharType="separate"/>
            </w:r>
            <w:r w:rsidRPr="00103A7D">
              <w:rPr>
                <w:rFonts w:ascii="Times New Roman" w:hAnsi="Times New Roman" w:cs="Times New Roman"/>
                <w:noProof/>
                <w:sz w:val="20"/>
                <w:szCs w:val="20"/>
              </w:rPr>
              <w:t>(Bhandari et al., 2022)</w:t>
            </w:r>
            <w:r>
              <w:rPr>
                <w:rFonts w:ascii="Times New Roman" w:hAnsi="Times New Roman" w:cs="Times New Roman"/>
                <w:sz w:val="20"/>
                <w:szCs w:val="20"/>
              </w:rPr>
              <w:fldChar w:fldCharType="end"/>
            </w:r>
          </w:p>
        </w:tc>
        <w:tc>
          <w:tcPr>
            <w:tcW w:w="4790" w:type="dxa"/>
            <w:shd w:val="clear" w:color="auto" w:fill="FFFFFF" w:themeFill="background1"/>
            <w:vAlign w:val="bottom"/>
          </w:tcPr>
          <w:p w14:paraId="50CFA3B4" w14:textId="027278E5" w:rsidR="0054357F" w:rsidRPr="00E352F5" w:rsidRDefault="0054357F" w:rsidP="005C3B3E">
            <w:pPr>
              <w:jc w:val="both"/>
              <w:rPr>
                <w:rFonts w:ascii="Times New Roman" w:hAnsi="Times New Roman" w:cs="Times New Roman"/>
                <w:sz w:val="20"/>
                <w:szCs w:val="20"/>
              </w:rPr>
            </w:pPr>
            <w:r w:rsidRPr="0054357F">
              <w:rPr>
                <w:rFonts w:ascii="Times New Roman" w:hAnsi="Times New Roman" w:cs="Times New Roman"/>
                <w:sz w:val="20"/>
                <w:szCs w:val="20"/>
              </w:rPr>
              <w:t>Studi ini menemukan bahwa hubungan antara keunggulan kompetitif berkelanjutan dan kinerja ESG berbentuk cekung (U terbalik). Artinya, keterlibatan ESG meningkatkan keunggulan kompetitif hingga titik optimal tertentu, setelah itu investasi tambahan dalam ESG menghasilkan pengembalian yang menurun atau bahkan negatif. Temuan ini menunjukkan bahwa perusahaan tertanam dalam sistem ekologis, sosial, dan tata kelola, bukan sekadar memandang ESG sebagai tambahan eksternal terhadap strategi perusahaan</w:t>
            </w:r>
          </w:p>
        </w:tc>
        <w:tc>
          <w:tcPr>
            <w:tcW w:w="1872" w:type="dxa"/>
            <w:shd w:val="clear" w:color="auto" w:fill="FFFFFF" w:themeFill="background1"/>
            <w:vAlign w:val="center"/>
          </w:tcPr>
          <w:p w14:paraId="48C81E3C"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t>210/3.609/Q1</w:t>
            </w:r>
          </w:p>
        </w:tc>
      </w:tr>
      <w:tr w:rsidR="0054357F" w14:paraId="713DCB23" w14:textId="77777777" w:rsidTr="00F10249">
        <w:tc>
          <w:tcPr>
            <w:tcW w:w="461" w:type="dxa"/>
            <w:shd w:val="clear" w:color="auto" w:fill="FFFFFF" w:themeFill="background1"/>
          </w:tcPr>
          <w:p w14:paraId="76E79501" w14:textId="77777777" w:rsidR="0054357F" w:rsidRPr="00E352F5" w:rsidRDefault="0054357F" w:rsidP="005C3B3E">
            <w:pPr>
              <w:jc w:val="center"/>
              <w:rPr>
                <w:rFonts w:ascii="Times New Roman" w:hAnsi="Times New Roman" w:cs="Times New Roman"/>
                <w:sz w:val="20"/>
                <w:szCs w:val="20"/>
              </w:rPr>
            </w:pPr>
            <w:r w:rsidRPr="00E352F5">
              <w:rPr>
                <w:rFonts w:ascii="Times New Roman" w:hAnsi="Times New Roman" w:cs="Times New Roman"/>
                <w:sz w:val="20"/>
                <w:szCs w:val="20"/>
              </w:rPr>
              <w:t>9</w:t>
            </w:r>
          </w:p>
        </w:tc>
        <w:tc>
          <w:tcPr>
            <w:tcW w:w="2086" w:type="dxa"/>
            <w:shd w:val="clear" w:color="auto" w:fill="FFFFFF" w:themeFill="background1"/>
          </w:tcPr>
          <w:p w14:paraId="2D4C2CE5"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{"citationItems":[{"id":"ITEM-1","itemData":{"DOI":"10.1177/0149206320978799","ISSN":"01492063 (ISSN)","abstract":"We describe the interplay between the resource-based view (RBV) and strategic human resources (HR)/human capital (HC) literatures in select areas of particular interest. In each area, we aim to highlight key issues, review relevant evidence where available, and identify future research needs. We begin by reviewing research on HR-related firm heterogeneity. We then discuss best practices in HR, including evidence of the large apparent value they create. We also consider different views on the value and ease of imitation of best practices, including implementation challenges. Next, we briefly address the key roles of microfoundations and complementarity in helping understand the potential for value creation and value capture through the use of best practices. We then ask whether the use of best practices in the pursuit of competitive parity might warrant greater attention as this may be where the largest potential gains can be made. Finally, we consider a number of developments in the strategic HC literature, especially those related to firm-specific human capital (FSHC). We raise questions with views on issues such as the consequences of FSHC for workers; the definition and measurement of FSHC; whether worker immobility, a key to value capture, is good from a social return (or even a firm) return perspective; and the relative emphasis on value capture and value creation. © The Author(s) 2021.","author":[{"dropping-particle":"","family":"Gerhart","given":"B","non-dropping-particle":"","parse-names":false,"suffix":""},{"dropping-particle":"","family":"Feng","given":"J","non-dropping-particle":"","parse-names":false,"suffix":""}],"container-title":"Journal of Management","id":"ITEM-1","issue":"7","issued":{"date-parts":[["2021"]]},"language":"English","note":"Export Date: 07 February 2026; Cited By: 202; Correspondence Address: J. Feng; Rutgers University, United States; email: jie.feng@rutgers.edu; CODEN: JOMAD","page":"1796-1819","publisher":"SAGE Publications Inc.","publisher-place":"University of Wisconsin-Madison, Madison, WI, United States","title":"The Resource-Based View of the Firm, Human Resources, and Human Capital: Progress and Prospects","type":"article-journal","volume":"47"},"uris":["http://www.mendeley.com/documents/?uuid=e9e8b903-3331-402d-b164-959135db0efe"]}],"mendeley":{"formattedCitation":"(Gerhart &amp; Feng, 2021)","plainTextFormattedCitation":"(Gerhart &amp; Feng, 2021)","previouslyFormattedCitation":"(Gerhart &amp; Feng, 2021)"},"properties":{"noteIndex":0},"schema":"https://github.com/citation-style-language/schema/raw/master/csl-citation.json"}</w:instrText>
            </w:r>
            <w:r>
              <w:rPr>
                <w:rFonts w:ascii="Times New Roman" w:hAnsi="Times New Roman" w:cs="Times New Roman"/>
                <w:sz w:val="20"/>
                <w:szCs w:val="20"/>
              </w:rPr>
              <w:fldChar w:fldCharType="separate"/>
            </w:r>
            <w:r w:rsidRPr="00103A7D">
              <w:rPr>
                <w:rFonts w:ascii="Times New Roman" w:hAnsi="Times New Roman" w:cs="Times New Roman"/>
                <w:noProof/>
                <w:sz w:val="20"/>
                <w:szCs w:val="20"/>
              </w:rPr>
              <w:t>(Gerhart &amp; Feng, 2021)</w:t>
            </w:r>
            <w:r>
              <w:rPr>
                <w:rFonts w:ascii="Times New Roman" w:hAnsi="Times New Roman" w:cs="Times New Roman"/>
                <w:sz w:val="20"/>
                <w:szCs w:val="20"/>
              </w:rPr>
              <w:fldChar w:fldCharType="end"/>
            </w:r>
          </w:p>
        </w:tc>
        <w:tc>
          <w:tcPr>
            <w:tcW w:w="4790" w:type="dxa"/>
            <w:shd w:val="clear" w:color="auto" w:fill="FFFFFF" w:themeFill="background1"/>
            <w:vAlign w:val="bottom"/>
          </w:tcPr>
          <w:p w14:paraId="5E630576" w14:textId="6D1175D5" w:rsidR="0054357F" w:rsidRPr="00E352F5" w:rsidRDefault="0054357F" w:rsidP="005C3B3E">
            <w:pPr>
              <w:jc w:val="both"/>
              <w:rPr>
                <w:rFonts w:ascii="Times New Roman" w:hAnsi="Times New Roman" w:cs="Times New Roman"/>
                <w:sz w:val="20"/>
                <w:szCs w:val="20"/>
              </w:rPr>
            </w:pPr>
            <w:r w:rsidRPr="0054357F">
              <w:rPr>
                <w:rFonts w:ascii="Times New Roman" w:hAnsi="Times New Roman" w:cs="Times New Roman"/>
                <w:sz w:val="20"/>
                <w:szCs w:val="20"/>
              </w:rPr>
              <w:t>Artikel ini menunjukkan bahwa sumber daya manusia dan modal manusia merupakan sumber daya strategis utama dalam RBV. Namun, kemampuan keduanya dalam menciptakan dan mempertahankan keunggulan kompetitif lebih ditentukan oleh cara praktik SDM diimplementasikan, dikombinasikan, dan ditanamkan dalam konteks spesifik perusahaan, termasuk peran mikrofoundasi dan modal manusia spesifik perusahaan</w:t>
            </w:r>
          </w:p>
        </w:tc>
        <w:tc>
          <w:tcPr>
            <w:tcW w:w="1872" w:type="dxa"/>
            <w:shd w:val="clear" w:color="auto" w:fill="FFFFFF" w:themeFill="background1"/>
            <w:vAlign w:val="center"/>
          </w:tcPr>
          <w:p w14:paraId="17D56985"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t>202/ Q1/8.636</w:t>
            </w:r>
          </w:p>
        </w:tc>
      </w:tr>
      <w:tr w:rsidR="0054357F" w14:paraId="21AF3B97" w14:textId="77777777" w:rsidTr="00F10249">
        <w:tc>
          <w:tcPr>
            <w:tcW w:w="461" w:type="dxa"/>
            <w:shd w:val="clear" w:color="auto" w:fill="FFFFFF" w:themeFill="background1"/>
          </w:tcPr>
          <w:p w14:paraId="6AA6E3EA" w14:textId="77777777" w:rsidR="0054357F" w:rsidRPr="00E352F5" w:rsidRDefault="0054357F" w:rsidP="005C3B3E">
            <w:pPr>
              <w:jc w:val="center"/>
              <w:rPr>
                <w:rFonts w:ascii="Times New Roman" w:hAnsi="Times New Roman" w:cs="Times New Roman"/>
                <w:sz w:val="20"/>
                <w:szCs w:val="20"/>
              </w:rPr>
            </w:pPr>
            <w:r w:rsidRPr="00E352F5">
              <w:rPr>
                <w:rFonts w:ascii="Times New Roman" w:hAnsi="Times New Roman" w:cs="Times New Roman"/>
                <w:sz w:val="20"/>
                <w:szCs w:val="20"/>
              </w:rPr>
              <w:t>10</w:t>
            </w:r>
          </w:p>
        </w:tc>
        <w:tc>
          <w:tcPr>
            <w:tcW w:w="2086" w:type="dxa"/>
            <w:shd w:val="clear" w:color="auto" w:fill="FFFFFF" w:themeFill="background1"/>
          </w:tcPr>
          <w:p w14:paraId="1F827EEC"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{"citationItems":[{"id":"ITEM-1","itemData":{"DOI":"10.1108/14637151011049430","ISSN":"14637154 (ISSN)","abstract":"Purpose: This paper seeks an answer to the question about which of a firm's resources contributes most to product innovation performance (PIP). The paper aims to adopt the resource-based view (RBV) and consider both tangible and intangible assets. Design/methodology/approach: A mail administrated survey was distributed to a randomly selected list of 700 small and medium enterprises (SMEs) in Malaysia. The response rate was 20.1 percent and the usable response rate was 15.4 percent which is favorable for this type of research. As comparable to other SME studies and particularly in Malaysia, this relatively low-response rate is not surprising for mail administrated questionnaire. Findings: The findings indicate that, in the Malaysian context, intangible resources are the main drivers of PIP. This is keeping with the expectations of the RBV. Research limitations/implications: Establishing a cooperative relationship with the Small and Medium Size Industries Development Corporation of Malaysia plays a significant role in helping us to garner a larger than expected response rate among the SMEs. Alliances such as this may help researchers improve survey response rates among smaller manufacturers. Originality/value: This paper is unique in that it is the first paper to address the relationship between firm resources and PIP among Malaysian companies. While the paper is primarily descriptive in nature, it does provide some evidence that can be used in the development and testing of hypotheses concerning the relationship between PIP and firm's resources. © Emerald Group Publishing Limited.","author":[{"dropping-particle":"","family":"Abu Bakar","given":"L J","non-dropping-particle":"","parse-names":false,"suffix":""},{"dropping-particle":"","family":"Ahmad","given":"H","non-dropping-particle":"","parse-names":false,"suffix":""}],"container-title":"Business Process Management Journal","id":"ITEM-1","issue":"3","issued":{"date-parts":[["2010"]]},"language":"English","note":"Export Date: 07 February 2026; Cited By: 195; Correspondence Address: L. J. Abu Bakar; College of Business, Universiti Utara Malaysia, Sintok, Malaysia; email: julienti@uum.edu.my","page":"420-435","publisher-place":"College of Business, Universiti Utara Malaysia, Sintok, Kedah, Malaysia","title":"Assessing the relationship between firm resources and product innovation performance: A resource-based view","type":"article-journal","volume":"16"},"uris":["http://www.mendeley.com/documents/?uuid=0883e3e6-2b10-4cb5-b185-39d3b148f6b1"]}],"mendeley":{"formattedCitation":"(Abu Bakar &amp; Ahmad, 2010)","plainTextFormattedCitation":"(Abu Bakar &amp; Ahmad, 2010)","previouslyFormattedCitation":"(Abu Bakar &amp; Ahmad, 2010)"},"properties":{"noteIndex":0},"schema":"https://github.com/citation-style-language/schema/raw/master/csl-citation.json"}</w:instrText>
            </w:r>
            <w:r>
              <w:rPr>
                <w:rFonts w:ascii="Times New Roman" w:hAnsi="Times New Roman" w:cs="Times New Roman"/>
                <w:sz w:val="20"/>
                <w:szCs w:val="20"/>
              </w:rPr>
              <w:fldChar w:fldCharType="separate"/>
            </w:r>
            <w:r w:rsidRPr="00EB1372">
              <w:rPr>
                <w:rFonts w:ascii="Times New Roman" w:hAnsi="Times New Roman" w:cs="Times New Roman"/>
                <w:noProof/>
                <w:sz w:val="20"/>
                <w:szCs w:val="20"/>
              </w:rPr>
              <w:t>(Abu Bakar &amp; Ahmad, 2010)</w:t>
            </w:r>
            <w:r>
              <w:rPr>
                <w:rFonts w:ascii="Times New Roman" w:hAnsi="Times New Roman" w:cs="Times New Roman"/>
                <w:sz w:val="20"/>
                <w:szCs w:val="20"/>
              </w:rPr>
              <w:fldChar w:fldCharType="end"/>
            </w:r>
          </w:p>
        </w:tc>
        <w:tc>
          <w:tcPr>
            <w:tcW w:w="4790" w:type="dxa"/>
            <w:shd w:val="clear" w:color="auto" w:fill="FFFFFF" w:themeFill="background1"/>
            <w:vAlign w:val="bottom"/>
          </w:tcPr>
          <w:p w14:paraId="6C4BE153" w14:textId="2CB1553E" w:rsidR="0054357F" w:rsidRPr="00E352F5" w:rsidRDefault="0054357F" w:rsidP="005C3B3E">
            <w:pPr>
              <w:jc w:val="both"/>
              <w:rPr>
                <w:rFonts w:ascii="Times New Roman" w:hAnsi="Times New Roman" w:cs="Times New Roman"/>
                <w:sz w:val="20"/>
                <w:szCs w:val="20"/>
              </w:rPr>
            </w:pPr>
            <w:r w:rsidRPr="0054357F">
              <w:rPr>
                <w:rFonts w:ascii="Times New Roman" w:hAnsi="Times New Roman" w:cs="Times New Roman"/>
                <w:sz w:val="20"/>
                <w:szCs w:val="20"/>
              </w:rPr>
              <w:t>Temuan penelitian menunjukkan bahwa dalam konteks Malaysia, sumber daya tidak berwujud merupakan pendorong utama kinerja inovasi proses. Hasil ini sejalan dengan prediksi RBV. Studi ini juga menekankan pentingnya kerja sama dengan lembaga pengembangan industri kecil dan menengah untuk meningkatkan tingkat respons survei. Penelitian ini merupakan studi awal yang mengkaji hubungan antara sumber daya perusahaan dan kinerja inovasi proses di perusahaan Malaysia</w:t>
            </w:r>
          </w:p>
        </w:tc>
        <w:tc>
          <w:tcPr>
            <w:tcW w:w="1872" w:type="dxa"/>
            <w:shd w:val="clear" w:color="auto" w:fill="FFFFFF" w:themeFill="background1"/>
            <w:vAlign w:val="center"/>
          </w:tcPr>
          <w:p w14:paraId="361012D5" w14:textId="77777777" w:rsidR="0054357F" w:rsidRPr="00E352F5" w:rsidRDefault="0054357F" w:rsidP="005C3B3E">
            <w:pPr>
              <w:jc w:val="center"/>
              <w:rPr>
                <w:rFonts w:ascii="Times New Roman" w:hAnsi="Times New Roman" w:cs="Times New Roman"/>
                <w:sz w:val="20"/>
                <w:szCs w:val="20"/>
              </w:rPr>
            </w:pPr>
            <w:r>
              <w:rPr>
                <w:rFonts w:ascii="Times New Roman" w:hAnsi="Times New Roman" w:cs="Times New Roman"/>
                <w:sz w:val="20"/>
                <w:szCs w:val="20"/>
              </w:rPr>
              <w:t>195/Q1/0.961</w:t>
            </w:r>
          </w:p>
        </w:tc>
      </w:tr>
    </w:tbl>
    <w:bookmarkEnd w:id="1"/>
    <w:p w14:paraId="18CBA184" w14:textId="34517283" w:rsidR="00D13672" w:rsidRDefault="00D13672" w:rsidP="005C3B3E">
      <w:pPr>
        <w:jc w:val="both"/>
        <w:rPr>
          <w:rFonts w:ascii="Times New Roman" w:hAnsi="Times New Roman" w:cs="Times New Roman"/>
          <w:b/>
          <w:sz w:val="26"/>
          <w:szCs w:val="26"/>
        </w:rPr>
      </w:pPr>
      <w:r>
        <w:rPr>
          <w:rFonts w:ascii="Times New Roman" w:hAnsi="Times New Roman" w:cs="Times New Roman"/>
          <w:b/>
          <w:sz w:val="26"/>
          <w:szCs w:val="26"/>
        </w:rPr>
        <w:t xml:space="preserve">Analisis </w:t>
      </w:r>
      <w:r w:rsidRPr="00D13672">
        <w:rPr>
          <w:rFonts w:ascii="Times New Roman" w:hAnsi="Times New Roman" w:cs="Times New Roman"/>
          <w:b/>
          <w:i/>
          <w:iCs/>
          <w:sz w:val="26"/>
          <w:szCs w:val="26"/>
        </w:rPr>
        <w:t>Co-occurence</w:t>
      </w:r>
      <w:r w:rsidRPr="0054357F">
        <w:rPr>
          <w:rFonts w:ascii="Times New Roman" w:hAnsi="Times New Roman" w:cs="Times New Roman"/>
          <w:b/>
          <w:sz w:val="26"/>
          <w:szCs w:val="26"/>
        </w:rPr>
        <w:t xml:space="preserve"> </w:t>
      </w:r>
      <w:r>
        <w:rPr>
          <w:rFonts w:ascii="Times New Roman" w:hAnsi="Times New Roman" w:cs="Times New Roman"/>
          <w:b/>
          <w:sz w:val="26"/>
          <w:szCs w:val="26"/>
        </w:rPr>
        <w:t>Kata Kunci</w:t>
      </w:r>
    </w:p>
    <w:p w14:paraId="47495F8D" w14:textId="414DC738" w:rsidR="00D13672" w:rsidRPr="00D13672" w:rsidRDefault="00D13672" w:rsidP="005C3B3E">
      <w:pPr>
        <w:pBdr>
          <w:top w:val="nil"/>
          <w:left w:val="nil"/>
          <w:bottom w:val="nil"/>
          <w:right w:val="nil"/>
          <w:between w:val="nil"/>
        </w:pBdr>
        <w:ind w:firstLine="567"/>
        <w:jc w:val="both"/>
        <w:rPr>
          <w:rFonts w:ascii="Times New Roman" w:hAnsi="Times New Roman" w:cs="Times New Roman"/>
        </w:rPr>
      </w:pPr>
      <w:r w:rsidRPr="00D13672">
        <w:rPr>
          <w:rFonts w:ascii="Times New Roman" w:hAnsi="Times New Roman" w:cs="Times New Roman"/>
        </w:rPr>
        <w:t xml:space="preserve">Analisis </w:t>
      </w:r>
      <w:r w:rsidRPr="00D13672">
        <w:rPr>
          <w:rFonts w:ascii="Times New Roman" w:hAnsi="Times New Roman" w:cs="Times New Roman"/>
          <w:i/>
          <w:iCs/>
        </w:rPr>
        <w:t>co-occurence</w:t>
      </w:r>
      <w:r w:rsidRPr="00D13672">
        <w:rPr>
          <w:rFonts w:ascii="Times New Roman" w:hAnsi="Times New Roman" w:cs="Times New Roman"/>
        </w:rPr>
        <w:t xml:space="preserve"> kata kunci yang disajikan pada Gambar 6 dan Tabel 3 menunjukkan bahwa penelitian Resource-Based View (RBV) telah berevolusi dari kerangka yang bersifat statis dan berpusat pada perusahaan menuju perspektif yang lebih multidimensional dan peka terhadap konteks. Klaster 1 (Merah) menyoroti dimensi normatif dan kelembagaan melalui kata kunci seperti corporate sustainability, corporate social responsibility, belief, crisis, dan ecology. Visualisasi overlay memperlihatkan bahwa tema-tema tersebut terutama muncul dalam publikasi yang lebih mutakhir, yang mengindikasikan meningkatnya perhatian akademik terhadap bagaimana perusahaan mengelola dan memobilisasi sumber daya sebagai respons terhadap turbulensi lingkungan dan tuntutan sosial. Perkembangan ini sejalan dengan kritik yang menyatakan bahwa RBV tradisional kurang mampu menangkap peran pemangku kepentingan dan legitimasi dalam penciptaan nilai, sehingga memerlukan integrasi dengan perspektif teori </w:t>
      </w:r>
      <w:r w:rsidRPr="00D13672">
        <w:rPr>
          <w:rFonts w:ascii="Times New Roman" w:hAnsi="Times New Roman" w:cs="Times New Roman"/>
        </w:rPr>
        <w:lastRenderedPageBreak/>
        <w:t>pemangku kepentingan dan kelembagaan (Freeman et al., 2021; Tate &amp; Bals, 2018). Munculnya tema crisis dan digitalisation juga mengindikasikan bahwa RBV semakin digunakan untuk menjelaskan ketahanan organisasi dan adaptasi strategis dalam kondisi ketidakpastian, yang memperkuat dorongan untuk melampaui asumsi VRIN yang statis (Zahra, 2021).</w:t>
      </w:r>
    </w:p>
    <w:p w14:paraId="08BB02B8" w14:textId="77458735" w:rsidR="00D13672" w:rsidRPr="00D13672" w:rsidRDefault="00D13672" w:rsidP="005C3B3E">
      <w:pPr>
        <w:pBdr>
          <w:top w:val="nil"/>
          <w:left w:val="nil"/>
          <w:bottom w:val="nil"/>
          <w:right w:val="nil"/>
          <w:between w:val="nil"/>
        </w:pBdr>
        <w:ind w:firstLine="567"/>
        <w:jc w:val="both"/>
        <w:rPr>
          <w:rFonts w:ascii="Times New Roman" w:hAnsi="Times New Roman" w:cs="Times New Roman"/>
        </w:rPr>
      </w:pPr>
      <w:r w:rsidRPr="00D13672">
        <w:rPr>
          <w:rFonts w:ascii="Times New Roman" w:hAnsi="Times New Roman" w:cs="Times New Roman"/>
        </w:rPr>
        <w:t xml:space="preserve">Klaster 2 (Hijau) dan Klaster 3 (Biru) mencerminkan perluasan RBV pada ranah strategis dan mikrofoundasi. Klaster 2 menekankan business models, ambidexterity, contingency approach, digital capability, serta teknologi maju seperti blockchain dan 3D printing, yang menunjukkan bahwa nilai sumber daya semakin dipahami sebagai sesuatu yang bergantung pada desain organisasi dan kemampuan rekonfigurasi teknologi. Pola ini mendukung temuan empiris bahwa kapabilitas dinamis—khususnya kapabilitas pembelajaran dan digital—memediasi hubungan antara sumber daya VRIN dan kinerja perusahaan (Lin &amp; Wu, 2014). Sebaliknya, Klaster 3 berfokus pada human capital, human resources, entrepreneurial orientation, leadership, dan brand reputation, yang menegaskan peran sentral sumber daya tidak berwujud dan berbasis manusia. </w:t>
      </w:r>
      <w:r w:rsidR="00835421" w:rsidRPr="00835421">
        <w:rPr>
          <w:rFonts w:ascii="Times New Roman" w:hAnsi="Times New Roman" w:cs="Times New Roman"/>
          <w:i/>
        </w:rPr>
        <w:t>Co-occurence</w:t>
      </w:r>
      <w:r w:rsidRPr="00D13672">
        <w:rPr>
          <w:rFonts w:ascii="Times New Roman" w:hAnsi="Times New Roman" w:cs="Times New Roman"/>
        </w:rPr>
        <w:t xml:space="preserve"> yang kuat di antara kata kunci ini mengonfirmasi bahwa keunggulan kompetitif lebih ditentukan oleh cara sumber daya manusia dikombinasikan, ditanamkan, dan diselaraskan dengan konteks spesifik perusahaan daripada sekadar adopsi praktik terbaik (Gerhart &amp; Feng, 2021). Secara keseluruhan, kedua klaster ini menunjukkan pergeseran yang jelas dari kepemilikan sumber daya menuju orkestrasi dinamis dan pemanfaatan sumber daya secara kewirausahaan.</w:t>
      </w:r>
    </w:p>
    <w:p w14:paraId="2BD4CF25" w14:textId="77777777" w:rsidR="00D13672" w:rsidRDefault="00D13672" w:rsidP="005C3B3E">
      <w:pPr>
        <w:pBdr>
          <w:top w:val="nil"/>
          <w:left w:val="nil"/>
          <w:bottom w:val="nil"/>
          <w:right w:val="nil"/>
          <w:between w:val="nil"/>
        </w:pBdr>
        <w:ind w:firstLine="567"/>
        <w:jc w:val="both"/>
        <w:rPr>
          <w:rFonts w:ascii="Times New Roman" w:hAnsi="Times New Roman" w:cs="Times New Roman"/>
        </w:rPr>
      </w:pPr>
      <w:r w:rsidRPr="00D13672">
        <w:rPr>
          <w:rFonts w:ascii="Times New Roman" w:hAnsi="Times New Roman" w:cs="Times New Roman"/>
        </w:rPr>
        <w:t>Selanjutnya, Klaster 4 (Kuning) dan Klaster 5 (Ungu) menandai kematangan tematik dan metodologis dalam penelitian RBV. Klaster 4 didominasi oleh green innovation, environmental policy, green absorptive capacity, dan environmental management, yang menegaskan keberlanjutan sebagai domain aplikasi utama RBV. Hal ini selaras dengan bukti bahwa inovasi hijau dan sumber daya lingkungan yang bersifat relasional dapat meningkatkan kinerja perusahaan secara tidak langsung melalui diferensiasi dan kolaborasi dengan pemangku kepentingan (Andersén, 2021; Khanra et al., 2022). Sementara itu, Klaster 5 menekankan aspek finance, financial resources, business environments, serta teknik kuantitatif seperti hierarchical regression, yang mencerminkan meningkatnya ketelitian empiris dan orientasi pada kinerja. Secara bersama-sama, kelima klaster tersebut menunjukkan bahwa RBV telah berkembang menjadi kerangka integratif yang menghubungkan keberlanjutan, transformasi digital, dan kinerja perusahaan, alih-alih sekadar teori internal yang statis mengenai keunggulan kompetitif</w:t>
      </w:r>
    </w:p>
    <w:p w14:paraId="4A285CA3" w14:textId="0F7EB60B" w:rsidR="00D13672" w:rsidRDefault="00D13672" w:rsidP="005C3B3E">
      <w:pPr>
        <w:jc w:val="both"/>
        <w:rPr>
          <w:rFonts w:ascii="Times New Roman" w:hAnsi="Times New Roman" w:cs="Times New Roman"/>
        </w:rPr>
      </w:pPr>
    </w:p>
    <w:p w14:paraId="2AA027AC" w14:textId="2837F833" w:rsidR="00D13672" w:rsidRDefault="00D13672" w:rsidP="005C3B3E">
      <w:pPr>
        <w:jc w:val="both"/>
        <w:rPr>
          <w:rFonts w:ascii="Times New Roman" w:hAnsi="Times New Roman" w:cs="Times New Roman"/>
        </w:rPr>
      </w:pPr>
      <w:r w:rsidRPr="00B45E02">
        <w:rPr>
          <w:rFonts w:ascii="Times New Roman" w:hAnsi="Times New Roman" w:cs="Times New Roman"/>
          <w:b/>
          <w:bCs/>
          <w:noProof/>
          <w:sz w:val="20"/>
          <w:szCs w:val="20"/>
          <w:lang w:eastAsia="en-US"/>
        </w:rPr>
        <w:lastRenderedPageBreak/>
        <w:drawing>
          <wp:inline distT="0" distB="0" distL="0" distR="0" wp14:anchorId="06398463" wp14:editId="5AA79AD3">
            <wp:extent cx="5944412" cy="3581400"/>
            <wp:effectExtent l="0" t="0" r="0" b="0"/>
            <wp:docPr id="1286713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13203" name=""/>
                    <pic:cNvPicPr/>
                  </pic:nvPicPr>
                  <pic:blipFill>
                    <a:blip r:embed="rId13"/>
                    <a:stretch>
                      <a:fillRect/>
                    </a:stretch>
                  </pic:blipFill>
                  <pic:spPr>
                    <a:xfrm>
                      <a:off x="0" y="0"/>
                      <a:ext cx="5952295" cy="3586150"/>
                    </a:xfrm>
                    <a:prstGeom prst="rect">
                      <a:avLst/>
                    </a:prstGeom>
                  </pic:spPr>
                </pic:pic>
              </a:graphicData>
            </a:graphic>
          </wp:inline>
        </w:drawing>
      </w:r>
    </w:p>
    <w:p w14:paraId="037E667A" w14:textId="3531E1EC" w:rsidR="00D13672" w:rsidRDefault="00D13672" w:rsidP="005C3B3E">
      <w:pPr>
        <w:jc w:val="center"/>
        <w:rPr>
          <w:rFonts w:ascii="Times New Roman" w:hAnsi="Times New Roman" w:cs="Times New Roman"/>
        </w:rPr>
      </w:pPr>
      <w:r w:rsidRPr="0054357F">
        <w:rPr>
          <w:rFonts w:ascii="Times New Roman" w:hAnsi="Times New Roman" w:cs="Times New Roman"/>
          <w:b/>
        </w:rPr>
        <w:t xml:space="preserve">Gambar </w:t>
      </w:r>
      <w:r>
        <w:rPr>
          <w:rFonts w:ascii="Times New Roman" w:hAnsi="Times New Roman" w:cs="Times New Roman"/>
          <w:b/>
        </w:rPr>
        <w:t>6</w:t>
      </w:r>
      <w:r w:rsidRPr="0054357F">
        <w:rPr>
          <w:rFonts w:ascii="Times New Roman" w:hAnsi="Times New Roman" w:cs="Times New Roman"/>
          <w:b/>
        </w:rPr>
        <w:t xml:space="preserve">: </w:t>
      </w:r>
      <w:r w:rsidRPr="00D13672">
        <w:rPr>
          <w:rFonts w:ascii="Times New Roman" w:hAnsi="Times New Roman" w:cs="Times New Roman"/>
          <w:b/>
        </w:rPr>
        <w:t xml:space="preserve">Visualisasi </w:t>
      </w:r>
      <w:r w:rsidRPr="00D13672">
        <w:rPr>
          <w:rFonts w:ascii="Times New Roman" w:hAnsi="Times New Roman" w:cs="Times New Roman"/>
          <w:b/>
          <w:i/>
          <w:iCs/>
        </w:rPr>
        <w:t>Overlay</w:t>
      </w:r>
      <w:r w:rsidRPr="00D13672">
        <w:rPr>
          <w:rFonts w:ascii="Times New Roman" w:hAnsi="Times New Roman" w:cs="Times New Roman"/>
          <w:b/>
        </w:rPr>
        <w:t xml:space="preserve"> pada Topik Resource-Based View</w:t>
      </w:r>
    </w:p>
    <w:p w14:paraId="47F4A638" w14:textId="77777777" w:rsidR="00D13672" w:rsidRDefault="00D13672" w:rsidP="005C3B3E">
      <w:pPr>
        <w:jc w:val="center"/>
        <w:rPr>
          <w:rFonts w:ascii="Times New Roman" w:hAnsi="Times New Roman" w:cs="Times New Roman"/>
          <w:b/>
        </w:rPr>
      </w:pPr>
    </w:p>
    <w:p w14:paraId="7F2C1AB0" w14:textId="7C5556A7" w:rsidR="00D13672" w:rsidRDefault="00D13672" w:rsidP="005C3B3E">
      <w:pPr>
        <w:jc w:val="center"/>
        <w:rPr>
          <w:rFonts w:ascii="Times New Roman" w:hAnsi="Times New Roman" w:cs="Times New Roman"/>
        </w:rPr>
      </w:pPr>
      <w:r>
        <w:rPr>
          <w:rFonts w:ascii="Times New Roman" w:hAnsi="Times New Roman" w:cs="Times New Roman"/>
          <w:b/>
        </w:rPr>
        <w:t>Tabel. 2 Analisis Kemunculan Bersama Kata Kunci</w:t>
      </w:r>
    </w:p>
    <w:tbl>
      <w:tblPr>
        <w:tblStyle w:val="TableGrid"/>
        <w:tblpPr w:leftFromText="180" w:rightFromText="180" w:vertAnchor="text" w:horzAnchor="margin" w:tblpY="166"/>
        <w:tblW w:w="9295" w:type="dxa"/>
        <w:tblLayout w:type="fixed"/>
        <w:tblLook w:val="04A0" w:firstRow="1" w:lastRow="0" w:firstColumn="1" w:lastColumn="0" w:noHBand="0" w:noVBand="1"/>
      </w:tblPr>
      <w:tblGrid>
        <w:gridCol w:w="510"/>
        <w:gridCol w:w="1757"/>
        <w:gridCol w:w="1839"/>
        <w:gridCol w:w="1675"/>
        <w:gridCol w:w="1757"/>
        <w:gridCol w:w="1757"/>
      </w:tblGrid>
      <w:tr w:rsidR="00D13672" w:rsidRPr="00844506" w14:paraId="38DB6839" w14:textId="77777777" w:rsidTr="00F10249">
        <w:tc>
          <w:tcPr>
            <w:tcW w:w="510" w:type="dxa"/>
          </w:tcPr>
          <w:p w14:paraId="66405069" w14:textId="77777777" w:rsidR="00D13672" w:rsidRPr="00844506" w:rsidRDefault="00D13672" w:rsidP="005C3B3E">
            <w:pPr>
              <w:pStyle w:val="ListParagraph"/>
              <w:ind w:left="0"/>
              <w:jc w:val="center"/>
              <w:rPr>
                <w:rFonts w:ascii="Times New Roman" w:hAnsi="Times New Roman" w:cs="Times New Roman"/>
                <w:b/>
                <w:bCs/>
                <w:sz w:val="20"/>
                <w:szCs w:val="20"/>
              </w:rPr>
            </w:pPr>
            <w:r w:rsidRPr="00844506">
              <w:rPr>
                <w:rFonts w:ascii="Times New Roman" w:hAnsi="Times New Roman" w:cs="Times New Roman"/>
                <w:b/>
                <w:bCs/>
                <w:sz w:val="20"/>
                <w:szCs w:val="20"/>
              </w:rPr>
              <w:t>No</w:t>
            </w:r>
          </w:p>
        </w:tc>
        <w:tc>
          <w:tcPr>
            <w:tcW w:w="1757" w:type="dxa"/>
          </w:tcPr>
          <w:p w14:paraId="4C59CBBF" w14:textId="77777777" w:rsidR="00D13672" w:rsidRPr="00844506" w:rsidRDefault="00D13672" w:rsidP="005C3B3E">
            <w:pPr>
              <w:pStyle w:val="ListParagraph"/>
              <w:ind w:left="0"/>
              <w:jc w:val="center"/>
              <w:rPr>
                <w:rFonts w:ascii="Times New Roman" w:hAnsi="Times New Roman" w:cs="Times New Roman"/>
                <w:b/>
                <w:bCs/>
                <w:sz w:val="20"/>
                <w:szCs w:val="20"/>
              </w:rPr>
            </w:pPr>
            <w:r w:rsidRPr="00844506">
              <w:rPr>
                <w:rFonts w:ascii="Times New Roman" w:hAnsi="Times New Roman" w:cs="Times New Roman"/>
                <w:b/>
                <w:bCs/>
                <w:sz w:val="20"/>
                <w:szCs w:val="20"/>
              </w:rPr>
              <w:t>Cluster 1 (Red)</w:t>
            </w:r>
          </w:p>
        </w:tc>
        <w:tc>
          <w:tcPr>
            <w:tcW w:w="1839" w:type="dxa"/>
          </w:tcPr>
          <w:p w14:paraId="2BEA450A" w14:textId="77777777" w:rsidR="00D13672" w:rsidRPr="00844506" w:rsidRDefault="00D13672" w:rsidP="005C3B3E">
            <w:pPr>
              <w:pStyle w:val="ListParagraph"/>
              <w:ind w:left="0"/>
              <w:jc w:val="center"/>
              <w:rPr>
                <w:rFonts w:ascii="Times New Roman" w:hAnsi="Times New Roman" w:cs="Times New Roman"/>
                <w:b/>
                <w:bCs/>
                <w:sz w:val="20"/>
                <w:szCs w:val="20"/>
              </w:rPr>
            </w:pPr>
            <w:r w:rsidRPr="00844506">
              <w:rPr>
                <w:rFonts w:ascii="Times New Roman" w:hAnsi="Times New Roman" w:cs="Times New Roman"/>
                <w:b/>
                <w:bCs/>
                <w:sz w:val="20"/>
                <w:szCs w:val="20"/>
              </w:rPr>
              <w:t>Cluster 2 (Green)</w:t>
            </w:r>
          </w:p>
        </w:tc>
        <w:tc>
          <w:tcPr>
            <w:tcW w:w="1675" w:type="dxa"/>
          </w:tcPr>
          <w:p w14:paraId="556764A0" w14:textId="77777777" w:rsidR="00D13672" w:rsidRPr="00844506" w:rsidRDefault="00D13672" w:rsidP="005C3B3E">
            <w:pPr>
              <w:pStyle w:val="ListParagraph"/>
              <w:ind w:left="0"/>
              <w:jc w:val="center"/>
              <w:rPr>
                <w:rFonts w:ascii="Times New Roman" w:hAnsi="Times New Roman" w:cs="Times New Roman"/>
                <w:b/>
                <w:bCs/>
                <w:sz w:val="20"/>
                <w:szCs w:val="20"/>
              </w:rPr>
            </w:pPr>
            <w:r w:rsidRPr="00844506">
              <w:rPr>
                <w:rFonts w:ascii="Times New Roman" w:hAnsi="Times New Roman" w:cs="Times New Roman"/>
                <w:b/>
                <w:bCs/>
                <w:sz w:val="20"/>
                <w:szCs w:val="20"/>
              </w:rPr>
              <w:t>Cluster 3 (Blue)</w:t>
            </w:r>
          </w:p>
        </w:tc>
        <w:tc>
          <w:tcPr>
            <w:tcW w:w="1757" w:type="dxa"/>
          </w:tcPr>
          <w:p w14:paraId="7A8C3FB7" w14:textId="77777777" w:rsidR="00D13672" w:rsidRPr="00844506" w:rsidRDefault="00D13672" w:rsidP="005C3B3E">
            <w:pPr>
              <w:pStyle w:val="ListParagraph"/>
              <w:ind w:left="0"/>
              <w:jc w:val="center"/>
              <w:rPr>
                <w:rFonts w:ascii="Times New Roman" w:hAnsi="Times New Roman" w:cs="Times New Roman"/>
                <w:b/>
                <w:bCs/>
                <w:sz w:val="20"/>
                <w:szCs w:val="20"/>
              </w:rPr>
            </w:pPr>
            <w:r w:rsidRPr="00844506">
              <w:rPr>
                <w:rFonts w:ascii="Times New Roman" w:hAnsi="Times New Roman" w:cs="Times New Roman"/>
                <w:b/>
                <w:bCs/>
                <w:sz w:val="20"/>
                <w:szCs w:val="20"/>
              </w:rPr>
              <w:t>Cluster 4 (Yellow)</w:t>
            </w:r>
          </w:p>
        </w:tc>
        <w:tc>
          <w:tcPr>
            <w:tcW w:w="1757" w:type="dxa"/>
          </w:tcPr>
          <w:p w14:paraId="71753767" w14:textId="77777777" w:rsidR="00D13672" w:rsidRPr="00844506" w:rsidRDefault="00D13672" w:rsidP="005C3B3E">
            <w:pPr>
              <w:pStyle w:val="ListParagraph"/>
              <w:ind w:left="0"/>
              <w:jc w:val="center"/>
              <w:rPr>
                <w:rFonts w:ascii="Times New Roman" w:hAnsi="Times New Roman" w:cs="Times New Roman"/>
                <w:b/>
                <w:bCs/>
                <w:sz w:val="20"/>
                <w:szCs w:val="20"/>
              </w:rPr>
            </w:pPr>
            <w:r w:rsidRPr="00844506">
              <w:rPr>
                <w:rFonts w:ascii="Times New Roman" w:hAnsi="Times New Roman" w:cs="Times New Roman"/>
                <w:b/>
                <w:bCs/>
                <w:sz w:val="20"/>
                <w:szCs w:val="20"/>
              </w:rPr>
              <w:t>Cluster 5 (Purple)</w:t>
            </w:r>
          </w:p>
        </w:tc>
      </w:tr>
      <w:tr w:rsidR="00D13672" w:rsidRPr="00844506" w14:paraId="19762037" w14:textId="77777777" w:rsidTr="00F10249">
        <w:tc>
          <w:tcPr>
            <w:tcW w:w="510" w:type="dxa"/>
          </w:tcPr>
          <w:p w14:paraId="543A2BA5"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1</w:t>
            </w:r>
          </w:p>
        </w:tc>
        <w:tc>
          <w:tcPr>
            <w:tcW w:w="1757" w:type="dxa"/>
          </w:tcPr>
          <w:p w14:paraId="56A94A15"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Action</w:t>
            </w:r>
            <w:r>
              <w:rPr>
                <w:rFonts w:ascii="Times New Roman" w:hAnsi="Times New Roman" w:cs="Times New Roman"/>
                <w:sz w:val="20"/>
                <w:szCs w:val="20"/>
              </w:rPr>
              <w:t xml:space="preserve"> (10)</w:t>
            </w:r>
          </w:p>
        </w:tc>
        <w:tc>
          <w:tcPr>
            <w:tcW w:w="1839" w:type="dxa"/>
          </w:tcPr>
          <w:p w14:paraId="378BEC1C"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Business Model</w:t>
            </w:r>
            <w:r>
              <w:rPr>
                <w:rFonts w:ascii="Times New Roman" w:hAnsi="Times New Roman" w:cs="Times New Roman"/>
                <w:sz w:val="20"/>
                <w:szCs w:val="20"/>
              </w:rPr>
              <w:t xml:space="preserve"> (11)</w:t>
            </w:r>
          </w:p>
        </w:tc>
        <w:tc>
          <w:tcPr>
            <w:tcW w:w="1675" w:type="dxa"/>
          </w:tcPr>
          <w:p w14:paraId="0DEDB7E8"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Human Capital</w:t>
            </w:r>
            <w:r>
              <w:rPr>
                <w:rFonts w:ascii="Times New Roman" w:hAnsi="Times New Roman" w:cs="Times New Roman"/>
                <w:sz w:val="20"/>
                <w:szCs w:val="20"/>
              </w:rPr>
              <w:t xml:space="preserve"> (31)</w:t>
            </w:r>
          </w:p>
        </w:tc>
        <w:tc>
          <w:tcPr>
            <w:tcW w:w="1757" w:type="dxa"/>
          </w:tcPr>
          <w:p w14:paraId="73B4E890"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Green Innovation</w:t>
            </w:r>
            <w:r>
              <w:rPr>
                <w:rFonts w:ascii="Times New Roman" w:hAnsi="Times New Roman" w:cs="Times New Roman"/>
                <w:sz w:val="20"/>
                <w:szCs w:val="20"/>
              </w:rPr>
              <w:t xml:space="preserve"> (19)</w:t>
            </w:r>
          </w:p>
        </w:tc>
        <w:tc>
          <w:tcPr>
            <w:tcW w:w="1757" w:type="dxa"/>
          </w:tcPr>
          <w:p w14:paraId="7E4ADFBC"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Finance</w:t>
            </w:r>
            <w:r>
              <w:rPr>
                <w:rFonts w:ascii="Times New Roman" w:hAnsi="Times New Roman" w:cs="Times New Roman"/>
                <w:sz w:val="20"/>
                <w:szCs w:val="20"/>
              </w:rPr>
              <w:t xml:space="preserve"> (34)</w:t>
            </w:r>
          </w:p>
        </w:tc>
      </w:tr>
      <w:tr w:rsidR="00D13672" w:rsidRPr="00844506" w14:paraId="53E186BF" w14:textId="77777777" w:rsidTr="00F10249">
        <w:tc>
          <w:tcPr>
            <w:tcW w:w="510" w:type="dxa"/>
          </w:tcPr>
          <w:p w14:paraId="63BEADA1"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2</w:t>
            </w:r>
          </w:p>
        </w:tc>
        <w:tc>
          <w:tcPr>
            <w:tcW w:w="1757" w:type="dxa"/>
          </w:tcPr>
          <w:p w14:paraId="2517D68D"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Belief</w:t>
            </w:r>
            <w:r>
              <w:rPr>
                <w:rFonts w:ascii="Times New Roman" w:hAnsi="Times New Roman" w:cs="Times New Roman"/>
                <w:sz w:val="20"/>
                <w:szCs w:val="20"/>
              </w:rPr>
              <w:t xml:space="preserve"> (10)</w:t>
            </w:r>
          </w:p>
        </w:tc>
        <w:tc>
          <w:tcPr>
            <w:tcW w:w="1839" w:type="dxa"/>
          </w:tcPr>
          <w:p w14:paraId="1E8EA9A1"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Causation</w:t>
            </w:r>
            <w:r>
              <w:rPr>
                <w:rFonts w:ascii="Times New Roman" w:hAnsi="Times New Roman" w:cs="Times New Roman"/>
                <w:sz w:val="20"/>
                <w:szCs w:val="20"/>
              </w:rPr>
              <w:t xml:space="preserve"> (8)</w:t>
            </w:r>
          </w:p>
        </w:tc>
        <w:tc>
          <w:tcPr>
            <w:tcW w:w="1675" w:type="dxa"/>
          </w:tcPr>
          <w:p w14:paraId="620E4720"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Export Performance</w:t>
            </w:r>
            <w:r>
              <w:rPr>
                <w:rFonts w:ascii="Times New Roman" w:hAnsi="Times New Roman" w:cs="Times New Roman"/>
                <w:sz w:val="20"/>
                <w:szCs w:val="20"/>
              </w:rPr>
              <w:t xml:space="preserve"> (19)</w:t>
            </w:r>
          </w:p>
        </w:tc>
        <w:tc>
          <w:tcPr>
            <w:tcW w:w="1757" w:type="dxa"/>
          </w:tcPr>
          <w:p w14:paraId="58CB74F5"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Dependent Variables</w:t>
            </w:r>
            <w:r>
              <w:rPr>
                <w:rFonts w:ascii="Times New Roman" w:hAnsi="Times New Roman" w:cs="Times New Roman"/>
                <w:sz w:val="20"/>
                <w:szCs w:val="20"/>
              </w:rPr>
              <w:t xml:space="preserve"> (13)</w:t>
            </w:r>
          </w:p>
        </w:tc>
        <w:tc>
          <w:tcPr>
            <w:tcW w:w="1757" w:type="dxa"/>
          </w:tcPr>
          <w:p w14:paraId="1052CF25"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Business Environments</w:t>
            </w:r>
            <w:r>
              <w:rPr>
                <w:rFonts w:ascii="Times New Roman" w:hAnsi="Times New Roman" w:cs="Times New Roman"/>
                <w:sz w:val="20"/>
                <w:szCs w:val="20"/>
              </w:rPr>
              <w:t xml:space="preserve"> (15)</w:t>
            </w:r>
          </w:p>
        </w:tc>
      </w:tr>
      <w:tr w:rsidR="00D13672" w:rsidRPr="00844506" w14:paraId="6FB473B5" w14:textId="77777777" w:rsidTr="00F10249">
        <w:tc>
          <w:tcPr>
            <w:tcW w:w="510" w:type="dxa"/>
          </w:tcPr>
          <w:p w14:paraId="0DFB3218"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3</w:t>
            </w:r>
          </w:p>
        </w:tc>
        <w:tc>
          <w:tcPr>
            <w:tcW w:w="1757" w:type="dxa"/>
          </w:tcPr>
          <w:p w14:paraId="78BD7AFD"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Digital Orientation</w:t>
            </w:r>
            <w:r>
              <w:rPr>
                <w:rFonts w:ascii="Times New Roman" w:hAnsi="Times New Roman" w:cs="Times New Roman"/>
                <w:sz w:val="20"/>
                <w:szCs w:val="20"/>
              </w:rPr>
              <w:t xml:space="preserve"> (7)</w:t>
            </w:r>
          </w:p>
        </w:tc>
        <w:tc>
          <w:tcPr>
            <w:tcW w:w="1839" w:type="dxa"/>
          </w:tcPr>
          <w:p w14:paraId="18242590"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Contingency Approach</w:t>
            </w:r>
            <w:r>
              <w:rPr>
                <w:rFonts w:ascii="Times New Roman" w:hAnsi="Times New Roman" w:cs="Times New Roman"/>
                <w:sz w:val="20"/>
                <w:szCs w:val="20"/>
              </w:rPr>
              <w:t xml:space="preserve"> (8)</w:t>
            </w:r>
          </w:p>
        </w:tc>
        <w:tc>
          <w:tcPr>
            <w:tcW w:w="1675" w:type="dxa"/>
          </w:tcPr>
          <w:p w14:paraId="3DC1BD49"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Human Resources</w:t>
            </w:r>
            <w:r>
              <w:rPr>
                <w:rFonts w:ascii="Times New Roman" w:hAnsi="Times New Roman" w:cs="Times New Roman"/>
                <w:sz w:val="20"/>
                <w:szCs w:val="20"/>
              </w:rPr>
              <w:t xml:space="preserve"> (10)</w:t>
            </w:r>
          </w:p>
        </w:tc>
        <w:tc>
          <w:tcPr>
            <w:tcW w:w="1757" w:type="dxa"/>
          </w:tcPr>
          <w:p w14:paraId="4C87674B"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Engineering</w:t>
            </w:r>
            <w:r>
              <w:rPr>
                <w:rFonts w:ascii="Times New Roman" w:hAnsi="Times New Roman" w:cs="Times New Roman"/>
                <w:sz w:val="20"/>
                <w:szCs w:val="20"/>
              </w:rPr>
              <w:t xml:space="preserve"> (13)</w:t>
            </w:r>
          </w:p>
        </w:tc>
        <w:tc>
          <w:tcPr>
            <w:tcW w:w="1757" w:type="dxa"/>
          </w:tcPr>
          <w:p w14:paraId="019296EB"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Continuous Innovation</w:t>
            </w:r>
            <w:r>
              <w:rPr>
                <w:rFonts w:ascii="Times New Roman" w:hAnsi="Times New Roman" w:cs="Times New Roman"/>
                <w:sz w:val="20"/>
                <w:szCs w:val="20"/>
              </w:rPr>
              <w:t xml:space="preserve"> (15)</w:t>
            </w:r>
          </w:p>
        </w:tc>
      </w:tr>
      <w:tr w:rsidR="00D13672" w:rsidRPr="00844506" w14:paraId="3E0409ED" w14:textId="77777777" w:rsidTr="00F10249">
        <w:tc>
          <w:tcPr>
            <w:tcW w:w="510" w:type="dxa"/>
          </w:tcPr>
          <w:p w14:paraId="78C7EBC0"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4</w:t>
            </w:r>
          </w:p>
        </w:tc>
        <w:tc>
          <w:tcPr>
            <w:tcW w:w="1757" w:type="dxa"/>
          </w:tcPr>
          <w:p w14:paraId="28AC1A04"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Catholic Social Teaching</w:t>
            </w:r>
            <w:r>
              <w:rPr>
                <w:rFonts w:ascii="Times New Roman" w:hAnsi="Times New Roman" w:cs="Times New Roman"/>
                <w:sz w:val="20"/>
                <w:szCs w:val="20"/>
              </w:rPr>
              <w:t xml:space="preserve"> (6)</w:t>
            </w:r>
          </w:p>
        </w:tc>
        <w:tc>
          <w:tcPr>
            <w:tcW w:w="1839" w:type="dxa"/>
          </w:tcPr>
          <w:p w14:paraId="6D6EC944"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Dynamism</w:t>
            </w:r>
            <w:r>
              <w:rPr>
                <w:rFonts w:ascii="Times New Roman" w:hAnsi="Times New Roman" w:cs="Times New Roman"/>
                <w:sz w:val="20"/>
                <w:szCs w:val="20"/>
              </w:rPr>
              <w:t xml:space="preserve"> (8)</w:t>
            </w:r>
          </w:p>
        </w:tc>
        <w:tc>
          <w:tcPr>
            <w:tcW w:w="1675" w:type="dxa"/>
          </w:tcPr>
          <w:p w14:paraId="4E2C3049"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Behavioral Traits</w:t>
            </w:r>
            <w:r>
              <w:rPr>
                <w:rFonts w:ascii="Times New Roman" w:hAnsi="Times New Roman" w:cs="Times New Roman"/>
                <w:sz w:val="20"/>
                <w:szCs w:val="20"/>
              </w:rPr>
              <w:t xml:space="preserve"> (9)</w:t>
            </w:r>
          </w:p>
        </w:tc>
        <w:tc>
          <w:tcPr>
            <w:tcW w:w="1757" w:type="dxa"/>
          </w:tcPr>
          <w:p w14:paraId="104540A8"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Bibliometric Analysis</w:t>
            </w:r>
            <w:r>
              <w:rPr>
                <w:rFonts w:ascii="Times New Roman" w:hAnsi="Times New Roman" w:cs="Times New Roman"/>
                <w:sz w:val="20"/>
                <w:szCs w:val="20"/>
              </w:rPr>
              <w:t xml:space="preserve"> (11)</w:t>
            </w:r>
          </w:p>
        </w:tc>
        <w:tc>
          <w:tcPr>
            <w:tcW w:w="1757" w:type="dxa"/>
          </w:tcPr>
          <w:p w14:paraId="4BCE223B"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Environmental Management</w:t>
            </w:r>
            <w:r>
              <w:rPr>
                <w:rFonts w:ascii="Times New Roman" w:hAnsi="Times New Roman" w:cs="Times New Roman"/>
                <w:sz w:val="20"/>
                <w:szCs w:val="20"/>
              </w:rPr>
              <w:t xml:space="preserve"> (15)</w:t>
            </w:r>
          </w:p>
        </w:tc>
      </w:tr>
      <w:tr w:rsidR="00D13672" w:rsidRPr="00844506" w14:paraId="41A58B88" w14:textId="77777777" w:rsidTr="00F10249">
        <w:tc>
          <w:tcPr>
            <w:tcW w:w="510" w:type="dxa"/>
          </w:tcPr>
          <w:p w14:paraId="3BFD906E"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5</w:t>
            </w:r>
          </w:p>
        </w:tc>
        <w:tc>
          <w:tcPr>
            <w:tcW w:w="1757" w:type="dxa"/>
          </w:tcPr>
          <w:p w14:paraId="099AA2CE"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Corporate Sustainability</w:t>
            </w:r>
            <w:r>
              <w:rPr>
                <w:rFonts w:ascii="Times New Roman" w:hAnsi="Times New Roman" w:cs="Times New Roman"/>
                <w:sz w:val="20"/>
                <w:szCs w:val="20"/>
              </w:rPr>
              <w:t xml:space="preserve"> (6)</w:t>
            </w:r>
          </w:p>
        </w:tc>
        <w:tc>
          <w:tcPr>
            <w:tcW w:w="1839" w:type="dxa"/>
          </w:tcPr>
          <w:p w14:paraId="0C648052"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3d Printing</w:t>
            </w:r>
            <w:r>
              <w:rPr>
                <w:rFonts w:ascii="Times New Roman" w:hAnsi="Times New Roman" w:cs="Times New Roman"/>
                <w:sz w:val="20"/>
                <w:szCs w:val="20"/>
              </w:rPr>
              <w:t xml:space="preserve"> (7)</w:t>
            </w:r>
          </w:p>
        </w:tc>
        <w:tc>
          <w:tcPr>
            <w:tcW w:w="1675" w:type="dxa"/>
          </w:tcPr>
          <w:p w14:paraId="069B8835"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Entrepreneurial Orientation</w:t>
            </w:r>
            <w:r>
              <w:rPr>
                <w:rFonts w:ascii="Times New Roman" w:hAnsi="Times New Roman" w:cs="Times New Roman"/>
                <w:sz w:val="20"/>
                <w:szCs w:val="20"/>
              </w:rPr>
              <w:t xml:space="preserve"> (9)</w:t>
            </w:r>
          </w:p>
        </w:tc>
        <w:tc>
          <w:tcPr>
            <w:tcW w:w="1757" w:type="dxa"/>
          </w:tcPr>
          <w:p w14:paraId="17C5187F"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Environmental Economics</w:t>
            </w:r>
            <w:r>
              <w:rPr>
                <w:rFonts w:ascii="Times New Roman" w:hAnsi="Times New Roman" w:cs="Times New Roman"/>
                <w:sz w:val="20"/>
                <w:szCs w:val="20"/>
              </w:rPr>
              <w:t xml:space="preserve"> (11)</w:t>
            </w:r>
          </w:p>
        </w:tc>
        <w:tc>
          <w:tcPr>
            <w:tcW w:w="1757" w:type="dxa"/>
          </w:tcPr>
          <w:p w14:paraId="7F497F4C"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Hierarchical Regression</w:t>
            </w:r>
            <w:r>
              <w:rPr>
                <w:rFonts w:ascii="Times New Roman" w:hAnsi="Times New Roman" w:cs="Times New Roman"/>
                <w:sz w:val="20"/>
                <w:szCs w:val="20"/>
              </w:rPr>
              <w:t xml:space="preserve"> (15)</w:t>
            </w:r>
          </w:p>
        </w:tc>
      </w:tr>
      <w:tr w:rsidR="00D13672" w:rsidRPr="00844506" w14:paraId="78237AEF" w14:textId="77777777" w:rsidTr="00F10249">
        <w:tc>
          <w:tcPr>
            <w:tcW w:w="510" w:type="dxa"/>
          </w:tcPr>
          <w:p w14:paraId="06E6C33E"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6</w:t>
            </w:r>
          </w:p>
        </w:tc>
        <w:tc>
          <w:tcPr>
            <w:tcW w:w="1757" w:type="dxa"/>
          </w:tcPr>
          <w:p w14:paraId="5DDCC50A"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Crisis</w:t>
            </w:r>
            <w:r>
              <w:rPr>
                <w:rFonts w:ascii="Times New Roman" w:hAnsi="Times New Roman" w:cs="Times New Roman"/>
                <w:sz w:val="20"/>
                <w:szCs w:val="20"/>
              </w:rPr>
              <w:t xml:space="preserve"> (6)</w:t>
            </w:r>
          </w:p>
        </w:tc>
        <w:tc>
          <w:tcPr>
            <w:tcW w:w="1839" w:type="dxa"/>
          </w:tcPr>
          <w:p w14:paraId="797FEE37"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Ambidexterity</w:t>
            </w:r>
            <w:r>
              <w:rPr>
                <w:rFonts w:ascii="Times New Roman" w:hAnsi="Times New Roman" w:cs="Times New Roman"/>
                <w:sz w:val="20"/>
                <w:szCs w:val="20"/>
              </w:rPr>
              <w:t xml:space="preserve"> (7)</w:t>
            </w:r>
          </w:p>
        </w:tc>
        <w:tc>
          <w:tcPr>
            <w:tcW w:w="1675" w:type="dxa"/>
          </w:tcPr>
          <w:p w14:paraId="3BE2AF2A"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Brand Reputation</w:t>
            </w:r>
            <w:r>
              <w:rPr>
                <w:rFonts w:ascii="Times New Roman" w:hAnsi="Times New Roman" w:cs="Times New Roman"/>
                <w:sz w:val="20"/>
                <w:szCs w:val="20"/>
              </w:rPr>
              <w:t xml:space="preserve"> (7)</w:t>
            </w:r>
          </w:p>
        </w:tc>
        <w:tc>
          <w:tcPr>
            <w:tcW w:w="1757" w:type="dxa"/>
          </w:tcPr>
          <w:p w14:paraId="0266A96A"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Environmental Policy</w:t>
            </w:r>
            <w:r>
              <w:rPr>
                <w:rFonts w:ascii="Times New Roman" w:hAnsi="Times New Roman" w:cs="Times New Roman"/>
                <w:sz w:val="20"/>
                <w:szCs w:val="20"/>
              </w:rPr>
              <w:t xml:space="preserve"> (11)</w:t>
            </w:r>
          </w:p>
        </w:tc>
        <w:tc>
          <w:tcPr>
            <w:tcW w:w="1757" w:type="dxa"/>
            <w:tcBorders>
              <w:bottom w:val="single" w:sz="4" w:space="0" w:color="auto"/>
            </w:tcBorders>
          </w:tcPr>
          <w:p w14:paraId="377E021A"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E-Government</w:t>
            </w:r>
            <w:r>
              <w:rPr>
                <w:rFonts w:ascii="Times New Roman" w:hAnsi="Times New Roman" w:cs="Times New Roman"/>
                <w:sz w:val="20"/>
                <w:szCs w:val="20"/>
              </w:rPr>
              <w:t xml:space="preserve"> (13)</w:t>
            </w:r>
          </w:p>
        </w:tc>
      </w:tr>
      <w:tr w:rsidR="00D13672" w:rsidRPr="00844506" w14:paraId="52683607" w14:textId="77777777" w:rsidTr="00F10249">
        <w:tc>
          <w:tcPr>
            <w:tcW w:w="510" w:type="dxa"/>
          </w:tcPr>
          <w:p w14:paraId="04300B5A"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7</w:t>
            </w:r>
          </w:p>
        </w:tc>
        <w:tc>
          <w:tcPr>
            <w:tcW w:w="1757" w:type="dxa"/>
          </w:tcPr>
          <w:p w14:paraId="42303E28"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Ecology</w:t>
            </w:r>
            <w:r>
              <w:rPr>
                <w:rFonts w:ascii="Times New Roman" w:hAnsi="Times New Roman" w:cs="Times New Roman"/>
                <w:sz w:val="20"/>
                <w:szCs w:val="20"/>
              </w:rPr>
              <w:t xml:space="preserve"> (6)</w:t>
            </w:r>
          </w:p>
        </w:tc>
        <w:tc>
          <w:tcPr>
            <w:tcW w:w="1839" w:type="dxa"/>
          </w:tcPr>
          <w:p w14:paraId="4FCD62CA"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Blockchain</w:t>
            </w:r>
            <w:r>
              <w:rPr>
                <w:rFonts w:ascii="Times New Roman" w:hAnsi="Times New Roman" w:cs="Times New Roman"/>
                <w:sz w:val="20"/>
                <w:szCs w:val="20"/>
              </w:rPr>
              <w:t xml:space="preserve"> (7)</w:t>
            </w:r>
          </w:p>
        </w:tc>
        <w:tc>
          <w:tcPr>
            <w:tcW w:w="1675" w:type="dxa"/>
            <w:tcBorders>
              <w:bottom w:val="single" w:sz="4" w:space="0" w:color="auto"/>
            </w:tcBorders>
          </w:tcPr>
          <w:p w14:paraId="1553CC8E"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Contingency Theory</w:t>
            </w:r>
            <w:r>
              <w:rPr>
                <w:rFonts w:ascii="Times New Roman" w:hAnsi="Times New Roman" w:cs="Times New Roman"/>
                <w:sz w:val="20"/>
                <w:szCs w:val="20"/>
              </w:rPr>
              <w:t xml:space="preserve"> (5)</w:t>
            </w:r>
          </w:p>
        </w:tc>
        <w:tc>
          <w:tcPr>
            <w:tcW w:w="1757" w:type="dxa"/>
            <w:tcBorders>
              <w:bottom w:val="single" w:sz="4" w:space="0" w:color="auto"/>
            </w:tcBorders>
          </w:tcPr>
          <w:p w14:paraId="4ADB3003"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Green Absorptive Capacity</w:t>
            </w:r>
            <w:r>
              <w:rPr>
                <w:rFonts w:ascii="Times New Roman" w:hAnsi="Times New Roman" w:cs="Times New Roman"/>
                <w:sz w:val="20"/>
                <w:szCs w:val="20"/>
              </w:rPr>
              <w:t xml:space="preserve"> (8)</w:t>
            </w:r>
          </w:p>
        </w:tc>
        <w:tc>
          <w:tcPr>
            <w:tcW w:w="1757" w:type="dxa"/>
          </w:tcPr>
          <w:p w14:paraId="55CDC76B"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E-Government Adoptions</w:t>
            </w:r>
            <w:r>
              <w:rPr>
                <w:rFonts w:ascii="Times New Roman" w:hAnsi="Times New Roman" w:cs="Times New Roman"/>
                <w:sz w:val="20"/>
                <w:szCs w:val="20"/>
              </w:rPr>
              <w:t xml:space="preserve"> (13)</w:t>
            </w:r>
          </w:p>
        </w:tc>
      </w:tr>
      <w:tr w:rsidR="00D13672" w:rsidRPr="00844506" w14:paraId="322DA9F1" w14:textId="77777777" w:rsidTr="00F10249">
        <w:tc>
          <w:tcPr>
            <w:tcW w:w="510" w:type="dxa"/>
          </w:tcPr>
          <w:p w14:paraId="02ED8270"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8</w:t>
            </w:r>
          </w:p>
        </w:tc>
        <w:tc>
          <w:tcPr>
            <w:tcW w:w="1757" w:type="dxa"/>
          </w:tcPr>
          <w:p w14:paraId="6CB1B8A2"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Digitalisation</w:t>
            </w:r>
            <w:r>
              <w:rPr>
                <w:rFonts w:ascii="Times New Roman" w:hAnsi="Times New Roman" w:cs="Times New Roman"/>
                <w:sz w:val="20"/>
                <w:szCs w:val="20"/>
              </w:rPr>
              <w:t xml:space="preserve"> (4)</w:t>
            </w:r>
          </w:p>
        </w:tc>
        <w:tc>
          <w:tcPr>
            <w:tcW w:w="1839" w:type="dxa"/>
          </w:tcPr>
          <w:p w14:paraId="790516A9"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Bayesian Modelling</w:t>
            </w:r>
            <w:r>
              <w:rPr>
                <w:rFonts w:ascii="Times New Roman" w:hAnsi="Times New Roman" w:cs="Times New Roman"/>
                <w:sz w:val="20"/>
                <w:szCs w:val="20"/>
              </w:rPr>
              <w:t xml:space="preserve"> (4)</w:t>
            </w:r>
          </w:p>
        </w:tc>
        <w:tc>
          <w:tcPr>
            <w:tcW w:w="1675" w:type="dxa"/>
          </w:tcPr>
          <w:p w14:paraId="5343533F"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Chinese Smes</w:t>
            </w:r>
            <w:r>
              <w:rPr>
                <w:rFonts w:ascii="Times New Roman" w:hAnsi="Times New Roman" w:cs="Times New Roman"/>
                <w:sz w:val="20"/>
                <w:szCs w:val="20"/>
              </w:rPr>
              <w:t xml:space="preserve"> (4)</w:t>
            </w:r>
          </w:p>
        </w:tc>
        <w:tc>
          <w:tcPr>
            <w:tcW w:w="1757" w:type="dxa"/>
          </w:tcPr>
          <w:p w14:paraId="58DD697C"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Green Business Strategy</w:t>
            </w:r>
            <w:r>
              <w:rPr>
                <w:rFonts w:ascii="Times New Roman" w:hAnsi="Times New Roman" w:cs="Times New Roman"/>
                <w:sz w:val="20"/>
                <w:szCs w:val="20"/>
              </w:rPr>
              <w:t xml:space="preserve"> (8)</w:t>
            </w:r>
          </w:p>
        </w:tc>
        <w:tc>
          <w:tcPr>
            <w:tcW w:w="1757" w:type="dxa"/>
          </w:tcPr>
          <w:p w14:paraId="41248C78"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Financial Resources</w:t>
            </w:r>
            <w:r>
              <w:rPr>
                <w:rFonts w:ascii="Times New Roman" w:hAnsi="Times New Roman" w:cs="Times New Roman"/>
                <w:sz w:val="20"/>
                <w:szCs w:val="20"/>
              </w:rPr>
              <w:t xml:space="preserve"> (13)</w:t>
            </w:r>
          </w:p>
        </w:tc>
      </w:tr>
      <w:tr w:rsidR="00D13672" w:rsidRPr="00844506" w14:paraId="3DD17034" w14:textId="77777777" w:rsidTr="00F10249">
        <w:tc>
          <w:tcPr>
            <w:tcW w:w="510" w:type="dxa"/>
          </w:tcPr>
          <w:p w14:paraId="1CDD4DEE"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9</w:t>
            </w:r>
          </w:p>
        </w:tc>
        <w:tc>
          <w:tcPr>
            <w:tcW w:w="1757" w:type="dxa"/>
          </w:tcPr>
          <w:p w14:paraId="710372F5"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China</w:t>
            </w:r>
            <w:r>
              <w:rPr>
                <w:rFonts w:ascii="Times New Roman" w:hAnsi="Times New Roman" w:cs="Times New Roman"/>
                <w:sz w:val="20"/>
                <w:szCs w:val="20"/>
              </w:rPr>
              <w:t xml:space="preserve"> (3)</w:t>
            </w:r>
          </w:p>
        </w:tc>
        <w:tc>
          <w:tcPr>
            <w:tcW w:w="1839" w:type="dxa"/>
          </w:tcPr>
          <w:p w14:paraId="2C5E167E"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Collectivism-Individualism</w:t>
            </w:r>
            <w:r>
              <w:rPr>
                <w:rFonts w:ascii="Times New Roman" w:hAnsi="Times New Roman" w:cs="Times New Roman"/>
                <w:sz w:val="20"/>
                <w:szCs w:val="20"/>
              </w:rPr>
              <w:t xml:space="preserve"> (4)</w:t>
            </w:r>
          </w:p>
        </w:tc>
        <w:tc>
          <w:tcPr>
            <w:tcW w:w="1675" w:type="dxa"/>
          </w:tcPr>
          <w:p w14:paraId="3091B26C"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Entrepreneurial Leadership</w:t>
            </w:r>
            <w:r>
              <w:rPr>
                <w:rFonts w:ascii="Times New Roman" w:hAnsi="Times New Roman" w:cs="Times New Roman"/>
                <w:sz w:val="20"/>
                <w:szCs w:val="20"/>
              </w:rPr>
              <w:t xml:space="preserve"> (4)</w:t>
            </w:r>
          </w:p>
        </w:tc>
        <w:tc>
          <w:tcPr>
            <w:tcW w:w="1757" w:type="dxa"/>
          </w:tcPr>
          <w:p w14:paraId="60769A1F"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Green Competencies</w:t>
            </w:r>
            <w:r>
              <w:rPr>
                <w:rFonts w:ascii="Times New Roman" w:hAnsi="Times New Roman" w:cs="Times New Roman"/>
                <w:sz w:val="20"/>
                <w:szCs w:val="20"/>
              </w:rPr>
              <w:t xml:space="preserve"> (8)</w:t>
            </w:r>
          </w:p>
        </w:tc>
        <w:tc>
          <w:tcPr>
            <w:tcW w:w="1757" w:type="dxa"/>
          </w:tcPr>
          <w:p w14:paraId="41037CA4"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G2</w:t>
            </w:r>
            <w:r>
              <w:rPr>
                <w:rFonts w:ascii="Times New Roman" w:hAnsi="Times New Roman" w:cs="Times New Roman"/>
                <w:sz w:val="20"/>
                <w:szCs w:val="20"/>
              </w:rPr>
              <w:t>G</w:t>
            </w:r>
            <w:r w:rsidRPr="00844506">
              <w:rPr>
                <w:rFonts w:ascii="Times New Roman" w:hAnsi="Times New Roman" w:cs="Times New Roman"/>
                <w:sz w:val="20"/>
                <w:szCs w:val="20"/>
              </w:rPr>
              <w:t xml:space="preserve"> Adoption</w:t>
            </w:r>
            <w:r>
              <w:rPr>
                <w:rFonts w:ascii="Times New Roman" w:hAnsi="Times New Roman" w:cs="Times New Roman"/>
                <w:sz w:val="20"/>
                <w:szCs w:val="20"/>
              </w:rPr>
              <w:t xml:space="preserve"> (13)</w:t>
            </w:r>
          </w:p>
        </w:tc>
      </w:tr>
      <w:tr w:rsidR="00D13672" w:rsidRPr="00844506" w14:paraId="588F12A4" w14:textId="77777777" w:rsidTr="00F10249">
        <w:tc>
          <w:tcPr>
            <w:tcW w:w="510" w:type="dxa"/>
          </w:tcPr>
          <w:p w14:paraId="26CA3F74"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10</w:t>
            </w:r>
          </w:p>
        </w:tc>
        <w:tc>
          <w:tcPr>
            <w:tcW w:w="1757" w:type="dxa"/>
          </w:tcPr>
          <w:p w14:paraId="37F10056"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Corporate Social Responsibility</w:t>
            </w:r>
            <w:r>
              <w:rPr>
                <w:rFonts w:ascii="Times New Roman" w:hAnsi="Times New Roman" w:cs="Times New Roman"/>
                <w:sz w:val="20"/>
                <w:szCs w:val="20"/>
              </w:rPr>
              <w:t xml:space="preserve"> (2)</w:t>
            </w:r>
          </w:p>
        </w:tc>
        <w:tc>
          <w:tcPr>
            <w:tcW w:w="1839" w:type="dxa"/>
          </w:tcPr>
          <w:p w14:paraId="33A6A9C0"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Digital Capability</w:t>
            </w:r>
            <w:r>
              <w:rPr>
                <w:rFonts w:ascii="Times New Roman" w:hAnsi="Times New Roman" w:cs="Times New Roman"/>
                <w:sz w:val="20"/>
                <w:szCs w:val="20"/>
              </w:rPr>
              <w:t xml:space="preserve"> (4)</w:t>
            </w:r>
          </w:p>
        </w:tc>
        <w:tc>
          <w:tcPr>
            <w:tcW w:w="1675" w:type="dxa"/>
          </w:tcPr>
          <w:p w14:paraId="1BCB01AB"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A Conceptual Review</w:t>
            </w:r>
            <w:r>
              <w:rPr>
                <w:rFonts w:ascii="Times New Roman" w:hAnsi="Times New Roman" w:cs="Times New Roman"/>
                <w:sz w:val="20"/>
                <w:szCs w:val="20"/>
              </w:rPr>
              <w:t xml:space="preserve"> (3)</w:t>
            </w:r>
          </w:p>
        </w:tc>
        <w:tc>
          <w:tcPr>
            <w:tcW w:w="1757" w:type="dxa"/>
          </w:tcPr>
          <w:p w14:paraId="560BCB92"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Green Innovation And Developing Economies</w:t>
            </w:r>
            <w:r>
              <w:rPr>
                <w:rFonts w:ascii="Times New Roman" w:hAnsi="Times New Roman" w:cs="Times New Roman"/>
                <w:sz w:val="20"/>
                <w:szCs w:val="20"/>
              </w:rPr>
              <w:t xml:space="preserve"> (8)</w:t>
            </w:r>
          </w:p>
        </w:tc>
        <w:tc>
          <w:tcPr>
            <w:tcW w:w="1757" w:type="dxa"/>
          </w:tcPr>
          <w:p w14:paraId="1D8D80B3" w14:textId="77777777" w:rsidR="00D13672" w:rsidRPr="00844506" w:rsidRDefault="00D13672" w:rsidP="005C3B3E">
            <w:pPr>
              <w:pStyle w:val="ListParagraph"/>
              <w:ind w:left="0"/>
              <w:jc w:val="center"/>
              <w:rPr>
                <w:rFonts w:ascii="Times New Roman" w:hAnsi="Times New Roman" w:cs="Times New Roman"/>
                <w:sz w:val="20"/>
                <w:szCs w:val="20"/>
              </w:rPr>
            </w:pPr>
            <w:r w:rsidRPr="00844506">
              <w:rPr>
                <w:rFonts w:ascii="Times New Roman" w:hAnsi="Times New Roman" w:cs="Times New Roman"/>
                <w:sz w:val="20"/>
                <w:szCs w:val="20"/>
              </w:rPr>
              <w:t>Government To Governments</w:t>
            </w:r>
            <w:r>
              <w:rPr>
                <w:rFonts w:ascii="Times New Roman" w:hAnsi="Times New Roman" w:cs="Times New Roman"/>
                <w:sz w:val="20"/>
                <w:szCs w:val="20"/>
              </w:rPr>
              <w:t xml:space="preserve"> (13)</w:t>
            </w:r>
          </w:p>
        </w:tc>
      </w:tr>
    </w:tbl>
    <w:p w14:paraId="1C9D7025" w14:textId="29018F1B" w:rsidR="00D13672" w:rsidRDefault="00D13672" w:rsidP="005C3B3E">
      <w:pPr>
        <w:jc w:val="both"/>
        <w:rPr>
          <w:rFonts w:ascii="Times New Roman" w:hAnsi="Times New Roman" w:cs="Times New Roman"/>
          <w:b/>
          <w:sz w:val="26"/>
          <w:szCs w:val="26"/>
        </w:rPr>
      </w:pPr>
      <w:r>
        <w:rPr>
          <w:rFonts w:ascii="Times New Roman" w:hAnsi="Times New Roman" w:cs="Times New Roman"/>
          <w:b/>
          <w:sz w:val="26"/>
          <w:szCs w:val="26"/>
        </w:rPr>
        <w:t>Pembahasan</w:t>
      </w:r>
    </w:p>
    <w:p w14:paraId="5CF34748" w14:textId="77777777" w:rsidR="00D13672" w:rsidRDefault="00D13672" w:rsidP="005C3B3E">
      <w:pPr>
        <w:pBdr>
          <w:top w:val="nil"/>
          <w:left w:val="nil"/>
          <w:bottom w:val="nil"/>
          <w:right w:val="nil"/>
          <w:between w:val="nil"/>
        </w:pBdr>
        <w:ind w:firstLine="567"/>
        <w:jc w:val="both"/>
        <w:rPr>
          <w:rFonts w:ascii="Times New Roman" w:hAnsi="Times New Roman" w:cs="Times New Roman"/>
        </w:rPr>
      </w:pPr>
      <w:r w:rsidRPr="00D13672">
        <w:rPr>
          <w:rFonts w:ascii="Times New Roman" w:hAnsi="Times New Roman" w:cs="Times New Roman"/>
        </w:rPr>
        <w:t xml:space="preserve">Temuan dari tinjauan bibliometrik ini menunjukkan bahwa penelitian mengenai Resource-Based View (RBV) dan kinerja perusahaan mengalami kebangkitan yang jelas dalam lima belas </w:t>
      </w:r>
      <w:r w:rsidRPr="00D13672">
        <w:rPr>
          <w:rFonts w:ascii="Times New Roman" w:hAnsi="Times New Roman" w:cs="Times New Roman"/>
        </w:rPr>
        <w:lastRenderedPageBreak/>
        <w:t>tahun terakhir, khususnya sejak tahun 2018. Meningkatnya perhatian akademik tersebut mencerminkan kompleksitas lingkungan bisnis yang semakin tinggi akibat transformasi digital, tekanan keberlanjutan, serta dinamika kelembagaan yang tidak stabil. Jika penelitian RBV pada tahap awal lebih menekankan kepemilikan sumber daya yang bernilai, langka, sulit ditiru, dan tidak dapat disubstitusi (VRIN), publikasi terkini justru semakin berfokus pada bagaimana sumber daya tersebut dimobilisasi, dikonfigurasi ulang, dan dikelola untuk mempertahankan kinerja perusahaan. Lonjakan jumlah publikasi setelah tahun 2020 mengindikasikan bahwa RBV masih relevan dalam menjelaskan heterogenitas kinerja perusahaan, namun hanya apabila dikembangkan dengan memasukkan kapabilitas dinamis, proses pembelajaran, dan kemampuan adaptasi. Pola ini sejalan dengan kritik sebelumnya yang menyatakan bahwa RBV tradisional bersifat statis dan kurang memadai dalam menjelaskan kinerja pada lingkungan yang bergejolak, sehingga memerlukan perluasan berbasis kapabilitas dan proses (Teece, 2018; Lin &amp; Wu, 2014).</w:t>
      </w:r>
    </w:p>
    <w:p w14:paraId="075BF181" w14:textId="77777777" w:rsidR="00D13672" w:rsidRDefault="00D13672" w:rsidP="005C3B3E">
      <w:pPr>
        <w:pBdr>
          <w:top w:val="nil"/>
          <w:left w:val="nil"/>
          <w:bottom w:val="nil"/>
          <w:right w:val="nil"/>
          <w:between w:val="nil"/>
        </w:pBdr>
        <w:ind w:firstLine="567"/>
        <w:jc w:val="both"/>
        <w:rPr>
          <w:rFonts w:ascii="Times New Roman" w:hAnsi="Times New Roman" w:cs="Times New Roman"/>
        </w:rPr>
      </w:pPr>
      <w:r w:rsidRPr="00D13672">
        <w:rPr>
          <w:rFonts w:ascii="Times New Roman" w:hAnsi="Times New Roman" w:cs="Times New Roman"/>
        </w:rPr>
        <w:t>Analisis terhadap penulis dengan tingkat sitasi tertinggi semakin menegaskan adanya pergeseran teoretis yang signifikan dalam literatur RBV. Studi-studi berpengaruh menunjukkan bahwa keunggulan kompetitif tidak semata-mata bersumber dari kepemilikan sumber daya, melainkan dari kemampuan perusahaan dalam mengorkestrasi sumber daya secara dinamis di berbagai konteks organisasi dan lingkungan. Sebagai contoh, Lin dan Wu (2014) membuktikan bahwa kapabilitas pembelajaran dinamis memediasi hubungan antara sumber daya VRIN dan kinerja perusahaan, sementara Freeman et al. (2021) menekankan perlunya integrasi RBV dengan teori pemangku kepentingan untuk menjelaskan penciptaan nilai secara lebih komprehensif. Demikian pula, Zahra (2021) mengkritisi asumsi RBV dalam konteks kewirausahaan dengan menunjukkan bahwa keterbatasan sumber daya, ketidakpastian, dan improvisasi sangat memengaruhi hasil kompetitif. Secara kolektif, kontribusi tersebut menunjukkan bahwa RBV telah berevolusi menjadi kerangka yang lebih integratif dengan mempertimbangkan ketidakpastian, ketergantungan eksternal, dan peran aktif manajerial, alih-alih sekadar model deterministik berbasis sumber daya internal.</w:t>
      </w:r>
    </w:p>
    <w:p w14:paraId="32426C20" w14:textId="3F633607" w:rsidR="00D13672" w:rsidRDefault="00D13672" w:rsidP="005C3B3E">
      <w:pPr>
        <w:pBdr>
          <w:top w:val="nil"/>
          <w:left w:val="nil"/>
          <w:bottom w:val="nil"/>
          <w:right w:val="nil"/>
          <w:between w:val="nil"/>
        </w:pBdr>
        <w:ind w:firstLine="567"/>
        <w:jc w:val="both"/>
        <w:rPr>
          <w:rFonts w:ascii="Times New Roman" w:hAnsi="Times New Roman" w:cs="Times New Roman"/>
        </w:rPr>
      </w:pPr>
      <w:r w:rsidRPr="00D13672">
        <w:rPr>
          <w:rFonts w:ascii="Times New Roman" w:hAnsi="Times New Roman" w:cs="Times New Roman"/>
        </w:rPr>
        <w:t xml:space="preserve">Analisis </w:t>
      </w:r>
      <w:r w:rsidR="00835421" w:rsidRPr="00835421">
        <w:rPr>
          <w:rFonts w:ascii="Times New Roman" w:hAnsi="Times New Roman" w:cs="Times New Roman"/>
          <w:i/>
        </w:rPr>
        <w:t>co-occurence</w:t>
      </w:r>
      <w:r w:rsidRPr="00D13672">
        <w:rPr>
          <w:rFonts w:ascii="Times New Roman" w:hAnsi="Times New Roman" w:cs="Times New Roman"/>
        </w:rPr>
        <w:t xml:space="preserve"> kata kunci memberikan pemahaman tambahan mengenai diversifikasi tematik dalam penelitian RBV. Dominasi kata kunci yang berkaitan dengan keberlanjutan, inovasi hijau, ESG, dan manajemen lingkungan menunjukkan bahwa RBV semakin digunakan untuk menjelaskan respons perusahaan terhadap tuntutan ekologis dan sosial. Penelitian oleh Khanra et al. (2022) dan Andersén (2021) menunjukkan bahwa inovasi hijau dan sumber daya lingkungan yang bersifat relasional berfungsi sebagai aset strategis yang meningkatkan kinerja perusahaan secara tidak langsung melalui diferensiasi dan kolaborasi dengan pemangku kepentingan. Perkembangan ini sejalan dengan munculnya natural dan social resource-based view yang memperluas RBV melampaui hasil ekonomi menuju penciptaan nilai triple bottom line (Tate &amp; Bals, 2018). Di sisi lain, kemunculan kata kunci yang berkaitan dengan keuangan dan tata kelola mencerminkan upaya berkelanjutan untuk memvalidasi proposisi RBV secara empiris melalui metode kuantitatif yang lebih ketat, yang menandakan proses konsolidasi teoretis.</w:t>
      </w:r>
    </w:p>
    <w:p w14:paraId="1C6A63BF" w14:textId="51895EBF" w:rsidR="00D13672" w:rsidRDefault="00D13672" w:rsidP="005C3B3E">
      <w:pPr>
        <w:pBdr>
          <w:top w:val="nil"/>
          <w:left w:val="nil"/>
          <w:bottom w:val="nil"/>
          <w:right w:val="nil"/>
          <w:between w:val="nil"/>
        </w:pBdr>
        <w:ind w:firstLine="567"/>
        <w:jc w:val="both"/>
        <w:rPr>
          <w:rFonts w:ascii="Times New Roman" w:hAnsi="Times New Roman" w:cs="Times New Roman"/>
        </w:rPr>
      </w:pPr>
      <w:r w:rsidRPr="00D13672">
        <w:rPr>
          <w:rFonts w:ascii="Times New Roman" w:hAnsi="Times New Roman" w:cs="Times New Roman"/>
        </w:rPr>
        <w:t xml:space="preserve">Akhirnya, hasil penelitian ini mengungkap implikasi kontekstual dan metodologis yang penting bagi agenda riset RBV di masa depan. Meskipun keragaman tema semakin meningkat, sebagian besar literatur masih terkonsentrasi di negara-negara maju, sehingga membatasi generalisasi temuan pada konteks negara berkembang. Studi yang berfokus pada UKM, perusahaan rintisan, dan ekonomi berkembang—seperti yang dilakukan oleh Abu Bakar dan Ahmad (2010)—menunjukkan bahwa RBV dapat beroperasi secara berbeda di bawah keterbatasan sumber daya dan kekosongan kelembagaan. Selain itu, meningkatnya penggunaan teknik bibliometrik, regresi hierarkis, dan analisis multilevel mencerminkan kematangan metodologis, namun juga menuntut integrasi yang lebih kuat antara teori dan desain empiris. Secara keseluruhan, penelitian ini </w:t>
      </w:r>
      <w:r w:rsidRPr="00D13672">
        <w:rPr>
          <w:rFonts w:ascii="Times New Roman" w:hAnsi="Times New Roman" w:cs="Times New Roman"/>
        </w:rPr>
        <w:lastRenderedPageBreak/>
        <w:t>menunjukkan bahwa RBV telah bertransformasi dari teori statis tentang kepemilikan sumber daya menjadi kerangka yang dinamis, berorientasi pada keberlanjutan, dan peka terhadap konteks dalam menjelaskan kinerja perusahaan, sekaligus menegaskan perlunya riset masa depan yang lebih memperhatikan heterogenitas konteks, dinamika longitudinal, dan interaksi lintas level.</w:t>
      </w:r>
    </w:p>
    <w:p w14:paraId="25EBBEFE" w14:textId="35928872" w:rsidR="00D13672" w:rsidRDefault="005C3B3E" w:rsidP="005C3B3E">
      <w:pPr>
        <w:jc w:val="both"/>
        <w:rPr>
          <w:rFonts w:ascii="Times New Roman" w:hAnsi="Times New Roman" w:cs="Times New Roman"/>
          <w:b/>
          <w:sz w:val="26"/>
          <w:szCs w:val="26"/>
        </w:rPr>
      </w:pPr>
      <w:r>
        <w:rPr>
          <w:rFonts w:ascii="Times New Roman" w:hAnsi="Times New Roman" w:cs="Times New Roman"/>
          <w:b/>
          <w:sz w:val="26"/>
          <w:szCs w:val="26"/>
        </w:rPr>
        <w:t>KESIMPULAN</w:t>
      </w:r>
    </w:p>
    <w:p w14:paraId="53FB4972" w14:textId="09ED4DDD" w:rsidR="00D13672" w:rsidRDefault="00D13672" w:rsidP="005C3B3E">
      <w:pPr>
        <w:pBdr>
          <w:top w:val="nil"/>
          <w:left w:val="nil"/>
          <w:bottom w:val="nil"/>
          <w:right w:val="nil"/>
          <w:between w:val="nil"/>
        </w:pBdr>
        <w:ind w:firstLine="567"/>
        <w:jc w:val="both"/>
        <w:rPr>
          <w:rFonts w:ascii="Times New Roman" w:hAnsi="Times New Roman" w:cs="Times New Roman"/>
        </w:rPr>
      </w:pPr>
      <w:r w:rsidRPr="00D13672">
        <w:rPr>
          <w:rFonts w:ascii="Times New Roman" w:hAnsi="Times New Roman" w:cs="Times New Roman"/>
        </w:rPr>
        <w:t>Penelitian ini menyajikan sintesis bibliometrik yang komprehensif terhadap kajian Resource-Based View (RBV) dan kinerja perusahaan selama periode 2010–2025, yang mengungkap adanya evolusi teoretis dan tematik yang jelas dalam bidang tersebut. Temuan penelitian menunjukkan bahwa RBV telah melampaui penekanan awalnya yang bersifat statis pada kepemilikan sumber daya yang bernilai, langka, sulit ditiru, dan tidak dapat disubstitusi (VRIN), menuju kerangka yang lebih dinamis, berorientasi pada keberlanjutan, serta peka terhadap konteks. Studi-studi dengan tingkat sitasi tinggi menegaskan peran penting kapabilitas dinamis, proses pembelajaran, hubungan dengan pemangku kepentingan, dan modal manusia dalam mentransformasikan sumber daya perusahaan menjadi keunggulan kinerja yang berkelanjutan (Lin &amp; Wu, 2014; Freeman et al., 2021). Selain itu, menonjolnya tema inovasi hijau, ESG, dan sumber daya sosial menunjukkan bahwa keunggulan kompetitif semakin tertanam dalam sistem ekologis dan kelembagaan, dan tidak lagi semata-mata bersumber dari kepemilikan sumber daya internal. Dengan mengintegrasikan perspektif kapabilitas dinamis, teori pemangku kepentingan, kewirausahaan, serta natural dan social resource-based view, penelitian ini menegaskan bahwa RBV tetap merupakan lensa teoretis yang relevan, meskipun terus berkembang. Secara keseluruhan, bukti bibliometrik menempatkan RBV sebagai kerangka integratif yang mampu menjelaskan keragaman kinerja perusahaan dalam lingkungan bisnis yang terdigitalisasi, berorientasi keberlanjutan, dan penuh ketidakpastian</w:t>
      </w:r>
      <w:r>
        <w:rPr>
          <w:rFonts w:ascii="Times New Roman" w:hAnsi="Times New Roman" w:cs="Times New Roman"/>
        </w:rPr>
        <w:t>.</w:t>
      </w:r>
    </w:p>
    <w:p w14:paraId="3049033B" w14:textId="7A9D739C" w:rsidR="00D13672" w:rsidRDefault="00D13672" w:rsidP="005C3B3E">
      <w:pPr>
        <w:jc w:val="both"/>
        <w:rPr>
          <w:rFonts w:ascii="Times New Roman" w:hAnsi="Times New Roman" w:cs="Times New Roman"/>
          <w:b/>
          <w:sz w:val="26"/>
          <w:szCs w:val="26"/>
        </w:rPr>
      </w:pPr>
      <w:r w:rsidRPr="00D13672">
        <w:rPr>
          <w:rFonts w:ascii="Times New Roman" w:hAnsi="Times New Roman" w:cs="Times New Roman"/>
          <w:b/>
          <w:sz w:val="26"/>
          <w:szCs w:val="26"/>
        </w:rPr>
        <w:t>Keterbatasan dan Arah Penelitian Selanjutnya</w:t>
      </w:r>
    </w:p>
    <w:p w14:paraId="4E4C6D90" w14:textId="185C9C5D" w:rsidR="00D13672" w:rsidRDefault="00D13672" w:rsidP="005C3B3E">
      <w:pPr>
        <w:pBdr>
          <w:top w:val="nil"/>
          <w:left w:val="nil"/>
          <w:bottom w:val="nil"/>
          <w:right w:val="nil"/>
          <w:between w:val="nil"/>
        </w:pBdr>
        <w:ind w:firstLine="567"/>
        <w:jc w:val="both"/>
        <w:rPr>
          <w:rFonts w:ascii="Times New Roman" w:hAnsi="Times New Roman" w:cs="Times New Roman"/>
        </w:rPr>
      </w:pPr>
      <w:r w:rsidRPr="00D13672">
        <w:rPr>
          <w:rFonts w:ascii="Times New Roman" w:hAnsi="Times New Roman" w:cs="Times New Roman"/>
        </w:rPr>
        <w:t>Meskipun memberikan kontribusi penting, penelitian ini memiliki beberapa keterbatasan yang membuka peluang bagi riset di masa depan. Pertama, analisis hanya didasarkan pada basis data Scopus dan artikel jurnal berbahasa Inggris, sehingga berpotensi mengecualikan penelitian relevan yang dipublikasikan pada basis data lain atau jurnal regional. Kedua, metode bibliometrik efektif dalam memetakan struktur intelektual dan tren tematik, namun tidak mampu menguji hubungan kausal antara sumber daya perusahaan dan kinerja secara langsung (Donthu et al., 2021). Ketiga, literatur yang dianalisis masih didominasi oleh penelitian dari negara maju, sehingga membatasi pemahaman mengenai bagaimana RBV beroperasi dalam konteks negara berkembang, usaha kecil dan menengah (UKM), serta lingkungan kelembagaan informal. Oleh karena itu, penelitian selanjutnya disarankan untuk memperluas tinjauan bibliometrik dengan mengombinasikan berbagai basis data, desain longitudinal, serta pendekatan mixed methods. Selain itu, studi empiris perlu lebih lanjut mengeksplorasi interaksi dinamis antara sumber daya digital, kapabilitas ESG, dan konteks kelembagaan dari waktu ke waktu. Integrasi RBV dengan mikrofoundasi, metode konfigurasi, serta analisis komparatif lintas negara diharapkan dapat semakin meningkatkan daya jelaskan RBV dalam penelitian manajemen strategis kontemporer (Hitt et al., 2020).</w:t>
      </w:r>
    </w:p>
    <w:p w14:paraId="08E1186D" w14:textId="7A59A560" w:rsidR="00E125C8" w:rsidRDefault="00120321" w:rsidP="005C3B3E">
      <w:pPr>
        <w:jc w:val="both"/>
        <w:rPr>
          <w:rFonts w:ascii="Times New Roman" w:hAnsi="Times New Roman" w:cs="Times New Roman"/>
          <w:b/>
          <w:sz w:val="26"/>
          <w:szCs w:val="26"/>
        </w:rPr>
      </w:pPr>
      <w:r>
        <w:rPr>
          <w:rFonts w:ascii="Times New Roman" w:hAnsi="Times New Roman" w:cs="Times New Roman"/>
          <w:b/>
          <w:sz w:val="26"/>
          <w:szCs w:val="26"/>
        </w:rPr>
        <w:t>KESIMPULAN</w:t>
      </w:r>
    </w:p>
    <w:p w14:paraId="5690631A" w14:textId="0EF6425D" w:rsidR="00E125C8" w:rsidRPr="005C3B3E" w:rsidRDefault="00D13672" w:rsidP="005C3B3E">
      <w:pPr>
        <w:ind w:firstLine="720"/>
        <w:jc w:val="both"/>
        <w:rPr>
          <w:rFonts w:ascii="Times New Roman" w:hAnsi="Times New Roman" w:cs="Times New Roman"/>
        </w:rPr>
      </w:pPr>
      <w:r w:rsidRPr="00D13672">
        <w:rPr>
          <w:rFonts w:ascii="Times New Roman" w:hAnsi="Times New Roman" w:cs="Times New Roman"/>
        </w:rPr>
        <w:t xml:space="preserve">Penelitian ini menyajikan sintesis bibliometrik yang komprehensif terhadap kajian Resource-Based View (RBV) dan kinerja perusahaan selama periode 2010–2025, yang mengungkap adanya evolusi teoretis dan tematik yang jelas dalam bidang tersebut. Temuan penelitian menunjukkan bahwa RBV telah melampaui penekanan awalnya yang bersifat statis pada kepemilikan sumber daya yang bernilai, langka, sulit ditiru, dan tidak dapat disubstitusi (VRIN), menuju kerangka yang lebih dinamis, berorientasi pada keberlanjutan, serta peka terhadap konteks. Studi-studi dengan tingkat sitasi tinggi menegaskan peran penting kapabilitas dinamis, proses </w:t>
      </w:r>
      <w:r w:rsidRPr="00D13672">
        <w:rPr>
          <w:rFonts w:ascii="Times New Roman" w:hAnsi="Times New Roman" w:cs="Times New Roman"/>
        </w:rPr>
        <w:lastRenderedPageBreak/>
        <w:t>pembelajaran, hubungan dengan pemangku kepentingan, dan modal manusia dalam mentransformasikan sumber daya perusahaan menjadi keunggulan kinerja yang berkelanjutan (Lin &amp; Wu, 2014; Freeman et al., 2021). Selain itu, menonjolnya tema inovasi hijau, ESG, dan sumber daya sosial menunjukkan bahwa keunggulan kompetitif semakin tertanam dalam sistem ekologis dan kelembagaan, dan tidak lagi semata-mata bersumber dari kepemilikan sumber daya internal. Dengan mengintegrasikan perspektif kapabilitas dinamis, teori pemangku kepentingan, kewirausahaan, serta natural dan social resource-based view, penelitian ini menegaskan bahwa RBV tetap merupakan lensa teoretis yang relevan, meskipun terus berkembang. Secara keseluruhan, bukti bibliometrik menempatkan RBV sebagai kerangka integratif yang mampu menjelaskan keragaman kinerja perusahaan dalam lingkungan bisnis yang terdigitalisasi, berorientasi keberlanjutan, dan penuh ketidakpastian</w:t>
      </w:r>
    </w:p>
    <w:p w14:paraId="7C36D0F5" w14:textId="4559E3C4" w:rsidR="00E125C8" w:rsidRDefault="00D13672" w:rsidP="005C3B3E">
      <w:pPr>
        <w:jc w:val="both"/>
        <w:rPr>
          <w:rFonts w:ascii="Times New Roman" w:hAnsi="Times New Roman" w:cs="Times New Roman"/>
          <w:b/>
          <w:sz w:val="26"/>
          <w:szCs w:val="26"/>
        </w:rPr>
      </w:pPr>
      <w:r>
        <w:rPr>
          <w:rFonts w:ascii="Times New Roman" w:hAnsi="Times New Roman" w:cs="Times New Roman"/>
          <w:b/>
          <w:sz w:val="26"/>
          <w:szCs w:val="26"/>
        </w:rPr>
        <w:t>KETERBATASAN DAN ARAH PENELITIAN SELANJUTNYA</w:t>
      </w:r>
    </w:p>
    <w:p w14:paraId="2861AD34" w14:textId="761140F7" w:rsidR="002F69D8" w:rsidRDefault="00D13672" w:rsidP="005C3B3E">
      <w:pPr>
        <w:ind w:firstLine="720"/>
        <w:jc w:val="both"/>
        <w:rPr>
          <w:rFonts w:ascii="Times New Roman" w:hAnsi="Times New Roman" w:cs="Times New Roman"/>
        </w:rPr>
      </w:pPr>
      <w:r w:rsidRPr="00D13672">
        <w:rPr>
          <w:rFonts w:ascii="Times New Roman" w:hAnsi="Times New Roman" w:cs="Times New Roman"/>
        </w:rPr>
        <w:t>Meskipun memberikan kontribusi penting, penelitian ini memiliki beberapa keterbatasan yang membuka peluang bagi riset di masa depan. Pertama, analisis hanya didasarkan pada basis data Scopus dan artikel jurnal berbahasa Inggris, sehingga berpotensi mengecualikan penelitian relevan yang dipublikasikan pada basis data lain atau jurnal regional. Kedua, metode bibliometrik efektif dalam memetakan struktur intelektual dan tren tematik, namun tidak mampu menguji hubungan kausal antara sumber daya perusahaan dan kinerja secara langsung (Donthu et al., 2021). Ketiga, literatur yang dianalisis masih didominasi oleh penelitian dari negara maju, sehingga membatasi pemahaman mengenai bagaimana RBV beroperasi dalam konteks negara berkembang, usaha kecil dan menengah (UKM), serta lingkungan kelembagaan informal. Oleh karena itu, penelitian selanjutnya disarankan untuk memperluas tinjauan bibliometrik dengan mengombinasikan berbagai basis data, desain longitudinal, serta pendekatan mixed methods. Selain itu, studi empiris perlu lebih lanjut mengeksplorasi interaksi dinamis antara sumber daya digital, kapabilitas ESG, dan konteks kelembagaan dari waktu ke waktu. Integrasi RBV dengan mikrofoundasi, metode konfigurasi, serta analisis komparatif lintas negara diharapkan dapat semakin meningkatkan daya jelaskan RBV dalam penelitian manajemen strategis kontemporer (Hitt et al., 2020).</w:t>
      </w:r>
    </w:p>
    <w:p w14:paraId="41F81AF4" w14:textId="6584A6CC" w:rsidR="00E125C8" w:rsidRDefault="00120321" w:rsidP="005C3B3E">
      <w:pPr>
        <w:jc w:val="both"/>
        <w:rPr>
          <w:rFonts w:ascii="Times New Roman" w:hAnsi="Times New Roman" w:cs="Times New Roman"/>
          <w:b/>
          <w:sz w:val="26"/>
          <w:szCs w:val="26"/>
        </w:rPr>
      </w:pPr>
      <w:r>
        <w:rPr>
          <w:rFonts w:ascii="Times New Roman" w:hAnsi="Times New Roman" w:cs="Times New Roman"/>
          <w:b/>
          <w:sz w:val="26"/>
          <w:szCs w:val="26"/>
        </w:rPr>
        <w:t>DAFTAR REFERENSI</w:t>
      </w:r>
    </w:p>
    <w:p w14:paraId="7E4A7B19" w14:textId="1CFD9201"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Abu Bakar, L. J., &amp; Ahmad, H. (2010). Assessing the relationship between firm resources and product innovation performance: A resource‐based view. Business Process Management Journal, 16(3), 420–435. https://doi.org/10.1108/14637151011049430</w:t>
      </w:r>
    </w:p>
    <w:p w14:paraId="57CACD17" w14:textId="46D701CF"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Andersén, J. (2021). Resource orchestration of green innovation: The role of relational resources. Journal of Business Research, 124, 322–334. https://doi.org/10.1016/j.jbusres.2020.09.028</w:t>
      </w:r>
    </w:p>
    <w:p w14:paraId="75E48072" w14:textId="416D4D0C"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Aria, M., &amp; Cuccurullo, C. (2017). bibliometrix: An R-tool for comprehensive science mapping analysis. Journal of Informetrics, 11(4), 959–975. https://doi.org/10.1016/j.joi.2017.08.007</w:t>
      </w:r>
    </w:p>
    <w:p w14:paraId="2D2D1630" w14:textId="19319FF3"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Barney, J. (1991). Firm resources and sustained competitive advantage. Journal of Management, 17(1), 99–120. https://doi.org/10.1177/014920639101700108</w:t>
      </w:r>
    </w:p>
    <w:p w14:paraId="12F40504" w14:textId="1FD1F7E9"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Bhandari, K. R., Rana, S., Paul, J., &amp; Salo, J. (2022). ESG and firm performance: An inverted U-shaped relationship. Journal of Business Research, 144, 116–128. https://doi.org/10.1016/j.jbusres.2022.02.006</w:t>
      </w:r>
    </w:p>
    <w:p w14:paraId="2E7BCF47" w14:textId="552055D3"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Donthu, N., Kumar, S., Mukherjee, D., Pandey, N., &amp; Lim, W. M. (2021). How to conduct a bibliometric analysis: An overview and guidelines. Journal of Business Research, 133, 285–296. https://doi.org/10.1016/j.jbusres.2021.04.070</w:t>
      </w:r>
    </w:p>
    <w:p w14:paraId="464FB384" w14:textId="5489519F"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Ferreira, J. J. M., Fernandes, C. I., &amp; Kraus, S. (2022). Entrepreneurship research: Mapping intellectual structures and research trends. Review of Managerial Science, 16(2), 291–333. https://doi.org/10.1007/s11846-020-00407-9</w:t>
      </w:r>
    </w:p>
    <w:p w14:paraId="67559D87" w14:textId="330D3607"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lastRenderedPageBreak/>
        <w:t>Freeman, R. E., Phillips, R., &amp; Sisodia, R. (2021). Tensions in stakeholder theory. Journal of Business Research, 132, 889–897. https://doi.org/10.1016/j.jbusres.2020.10.053</w:t>
      </w:r>
    </w:p>
    <w:p w14:paraId="5BD01BCE" w14:textId="1CDE6849"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Gerhart, B., &amp; Feng, J. (2021). The resource-based view of the firm, human resources, and human capital. Journal of Management, 47(7), 1796–1819. https://doi.org/10.1177/0149206320978799</w:t>
      </w:r>
    </w:p>
    <w:p w14:paraId="563F8E6F" w14:textId="1B5385C6"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Hitt, M. A., Xu, K., &amp; Carnes, C. M. (2020). Resource based theory in operations management research. Journal of Management, 46(6), 1069–1095. https://doi.org/10.1177/0149206319895828</w:t>
      </w:r>
    </w:p>
    <w:p w14:paraId="6B552246" w14:textId="6E3FBAD1"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Khanra, S., Dhir, A., Kaur, P., &amp; Mäntymäki, M. (2022). Bibliometric analysis and literature review of green innovation. Journal of Cleaner Production, 338, 130803. https://doi.org/10.1016/j.jclepro.2022.130803</w:t>
      </w:r>
    </w:p>
    <w:p w14:paraId="681FADCB" w14:textId="1DEEE57B"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Lin, Y., &amp; Wu, L.-Y. (2014). Exploring the role of dynamic capabilities in firm performance under the resource-based view. Journal of Business Research, 67(3), 407–413. https://doi.org/10.1016/j.jbusres.2012.12.019</w:t>
      </w:r>
    </w:p>
    <w:p w14:paraId="1F9F706A" w14:textId="70E65568"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Penrose, E. T. (1959). The theory of the growth of the firm. Oxford University Press.</w:t>
      </w:r>
    </w:p>
    <w:p w14:paraId="4C49C974" w14:textId="4F6759B0"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Shibin, K. T., Gunasekaran, A., Dubey, R., Childe, S. J., &amp; Roubaud, D. (2020). Environmental sustainability through supply chain connectivity and information sharing. International Journal of Production Economics, 228, 107687. https://doi.org/10.1016/j.ijpe.2020.107687</w:t>
      </w:r>
    </w:p>
    <w:p w14:paraId="4663A474" w14:textId="4AE885C9"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Tate, W. L., &amp; Bals, L. (2018). Achieving shared triple bottom line value through social resource-based view. Journal of Business Ethics, 152(3), 803–826. https://doi.org/10.1007/s10551-016-3344-y</w:t>
      </w:r>
    </w:p>
    <w:p w14:paraId="21D546A5" w14:textId="5561497C"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Teece, D. J. (2018). Business models and dynamic capabilities. Long Range Planning, 51(1), 40–49. https://doi.org/10.1016/j.lrp.2017.06.007</w:t>
      </w:r>
    </w:p>
    <w:p w14:paraId="44D1ABDF" w14:textId="104CEF3E"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van Eck, N. J., &amp; Waltman, L. (2010). Software survey: VOSviewer, a computer program for bibliometric mapping. Scientometrics, 84(2), 523–538. https://doi.org/10.1007/s11192-009-0146-3</w:t>
      </w:r>
    </w:p>
    <w:p w14:paraId="417F790A" w14:textId="7282E527" w:rsidR="0054219C" w:rsidRP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Vrontis, D., Christofi, M., Pereira, V., Tarba, S., Makrides, A., &amp; Trichina, E. (2021). Artificial intelligence, robotics, advanced technologies and human resource management. Journal of Business Research, 133, 337–345. https://doi.org/10.1016/j.jbusres.2021.04.057</w:t>
      </w:r>
    </w:p>
    <w:p w14:paraId="479BE2EA" w14:textId="77777777" w:rsidR="0054219C" w:rsidRDefault="0054219C" w:rsidP="005C3B3E">
      <w:pPr>
        <w:ind w:left="720" w:hanging="720"/>
        <w:jc w:val="both"/>
        <w:rPr>
          <w:rFonts w:ascii="Times New Roman" w:hAnsi="Times New Roman" w:cs="Times New Roman"/>
          <w:color w:val="222222"/>
        </w:rPr>
      </w:pPr>
      <w:r w:rsidRPr="0054219C">
        <w:rPr>
          <w:rFonts w:ascii="Times New Roman" w:hAnsi="Times New Roman" w:cs="Times New Roman"/>
          <w:color w:val="222222"/>
        </w:rPr>
        <w:t>Zahra, S. A. (2021). The resource-based view, resourcefulness, and entrepreneurship. Journal of Management, 47(5), 1271–1293. https://doi.org/10.1177/0149206320979718</w:t>
      </w:r>
    </w:p>
    <w:p w14:paraId="11BB616A" w14:textId="7574CD86" w:rsidR="00E125C8" w:rsidRDefault="00E125C8" w:rsidP="005C3B3E">
      <w:pPr>
        <w:ind w:left="720" w:hanging="720"/>
        <w:jc w:val="both"/>
        <w:rPr>
          <w:rFonts w:ascii="Times New Roman" w:hAnsi="Times New Roman" w:cs="Times New Roman"/>
          <w:sz w:val="32"/>
          <w:szCs w:val="32"/>
        </w:rPr>
      </w:pPr>
    </w:p>
    <w:p w14:paraId="5C94EB8F" w14:textId="77777777" w:rsidR="00E125C8" w:rsidRDefault="00E125C8" w:rsidP="005C3B3E">
      <w:pPr>
        <w:jc w:val="both"/>
        <w:rPr>
          <w:rFonts w:ascii="Times New Roman" w:hAnsi="Times New Roman" w:cs="Times New Roman"/>
        </w:rPr>
      </w:pPr>
    </w:p>
    <w:sectPr w:rsidR="00E125C8" w:rsidSect="00CA62F0">
      <w:headerReference w:type="even" r:id="rId14"/>
      <w:headerReference w:type="default" r:id="rId15"/>
      <w:footerReference w:type="even" r:id="rId16"/>
      <w:footerReference w:type="default" r:id="rId17"/>
      <w:headerReference w:type="first" r:id="rId18"/>
      <w:footerReference w:type="first" r:id="rId19"/>
      <w:pgSz w:w="12240" w:h="15840"/>
      <w:pgMar w:top="1321" w:right="1134" w:bottom="851" w:left="1701" w:header="720" w:footer="215" w:gutter="0"/>
      <w:pgNumType w:start="912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55A9B" w14:textId="77777777" w:rsidR="006178D1" w:rsidRDefault="006178D1">
      <w:r>
        <w:separator/>
      </w:r>
    </w:p>
  </w:endnote>
  <w:endnote w:type="continuationSeparator" w:id="0">
    <w:p w14:paraId="317B96E9" w14:textId="77777777" w:rsidR="006178D1" w:rsidRDefault="00617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663968A-F8CA-412A-8ED5-0FD6920871B6}"/>
    <w:embedBold r:id="rId2" w:fontKey="{99C10CDA-90AB-47F8-81A2-A2B0DB3C9E6A}"/>
    <w:embedItalic r:id="rId3" w:fontKey="{1E8B7661-F8D9-48E1-B37A-61D365747272}"/>
    <w:embedBoldItalic r:id="rId4" w:fontKey="{6711A23C-BF44-424C-B60B-0BCC4F2DC9C8}"/>
  </w:font>
  <w:font w:name="Calibri Light">
    <w:panose1 w:val="020F0302020204030204"/>
    <w:charset w:val="00"/>
    <w:family w:val="swiss"/>
    <w:pitch w:val="variable"/>
    <w:sig w:usb0="E4002EFF" w:usb1="C000247B" w:usb2="00000009" w:usb3="00000000" w:csb0="000001FF" w:csb1="00000000"/>
    <w:embedRegular r:id="rId5" w:fontKey="{0B6B93D7-9314-492A-8301-F24A518E8115}"/>
    <w:embedBold r:id="rId6" w:fontKey="{3C48AAB6-4497-4774-98F0-44D3565C4DDD}"/>
    <w:embedBoldItalic r:id="rId7" w:fontKey="{243D4307-BC4E-4949-9A3C-71C2FC7C9003}"/>
  </w:font>
  <w:font w:name="Cambria">
    <w:panose1 w:val="02040503050406030204"/>
    <w:charset w:val="00"/>
    <w:family w:val="roman"/>
    <w:pitch w:val="variable"/>
    <w:sig w:usb0="E00006FF" w:usb1="420024FF" w:usb2="02000000" w:usb3="00000000" w:csb0="0000019F" w:csb1="00000000"/>
    <w:embedRegular r:id="rId8" w:fontKey="{2C302AE5-D6A3-4E8A-957C-05C3692250B3}"/>
    <w:embedBold r:id="rId9" w:fontKey="{E5DC7A6A-64A9-44E6-87AE-60432748FE73}"/>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70740F10-9172-44AD-948E-DD3693C92A06}"/>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08015FB9-F6C6-4545-84EF-A9121788337B}"/>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Quintessential">
    <w:altName w:val="Times New Roman"/>
    <w:charset w:val="00"/>
    <w:family w:val="auto"/>
    <w:pitch w:val="default"/>
    <w:embedRegular r:id="rId12" w:fontKey="{5EE1D2FB-D185-4269-ABE0-38719FA0F20C}"/>
    <w:embedBold r:id="rId13" w:fontKey="{D92ADFA8-ABD6-438E-9048-4685E208AB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F2464" w14:textId="77777777" w:rsidR="00E125C8" w:rsidRDefault="00120321">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3A33D856" w14:textId="77777777" w:rsidR="00E125C8" w:rsidRDefault="00E125C8">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7B5A8" w14:textId="77777777" w:rsidR="00E125C8" w:rsidRDefault="00120321">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7CA0D641" w14:textId="77777777" w:rsidR="00E125C8" w:rsidRDefault="00E125C8">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08F63" w14:textId="77777777" w:rsidR="00E125C8" w:rsidRDefault="00E125C8">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5B7E9" w14:textId="77777777" w:rsidR="006178D1" w:rsidRDefault="006178D1">
      <w:r>
        <w:separator/>
      </w:r>
    </w:p>
  </w:footnote>
  <w:footnote w:type="continuationSeparator" w:id="0">
    <w:p w14:paraId="167A1D1F" w14:textId="77777777" w:rsidR="006178D1" w:rsidRDefault="00617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572E0" w14:textId="77777777" w:rsidR="00E125C8" w:rsidRDefault="00120321">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4C4764">
      <w:rPr>
        <w:rFonts w:ascii="Quintessential" w:eastAsia="Quintessential" w:hAnsi="Quintessential" w:cs="Quintessential"/>
        <w:b/>
        <w:noProof/>
      </w:rPr>
      <w:t>9124</w:t>
    </w:r>
    <w:r>
      <w:rPr>
        <w:rFonts w:ascii="Quintessential" w:eastAsia="Quintessential" w:hAnsi="Quintessential" w:cs="Quintessential"/>
        <w:b/>
      </w:rPr>
      <w:fldChar w:fldCharType="end"/>
    </w:r>
  </w:p>
  <w:p w14:paraId="6F14D6EF" w14:textId="77777777" w:rsidR="00E125C8" w:rsidRDefault="00120321">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PESHUM : Jurnal Pendidikan, Sosial dan Humaniora</w:t>
    </w:r>
  </w:p>
  <w:p w14:paraId="0D868DAE" w14:textId="223735A1" w:rsidR="00E125C8" w:rsidRDefault="005C3B3E">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Vol.5, No.4, Juni 2026</w:t>
    </w:r>
  </w:p>
  <w:p w14:paraId="7DF6139D" w14:textId="77777777" w:rsidR="00E125C8" w:rsidRDefault="00120321">
    <w:pPr>
      <w:pBdr>
        <w:top w:val="nil"/>
        <w:left w:val="nil"/>
        <w:bottom w:val="nil"/>
        <w:right w:val="nil"/>
        <w:between w:val="nil"/>
      </w:pBdr>
      <w:tabs>
        <w:tab w:val="center" w:pos="4680"/>
        <w:tab w:val="right" w:pos="9360"/>
      </w:tabs>
      <w:rPr>
        <w:rFonts w:ascii="Cambria" w:eastAsia="Cambria" w:hAnsi="Cambria" w:cs="Cambria"/>
        <w:b/>
      </w:rPr>
    </w:pPr>
    <w:r>
      <w:rPr>
        <w:noProof/>
        <w:lang w:eastAsia="en-US"/>
      </w:rPr>
      <mc:AlternateContent>
        <mc:Choice Requires="wps">
          <w:drawing>
            <wp:anchor distT="0" distB="0" distL="114300" distR="114300" simplePos="0" relativeHeight="251659264" behindDoc="0" locked="0" layoutInCell="1" hidden="0" allowOverlap="1" wp14:anchorId="33DC9AC0" wp14:editId="3129792A">
              <wp:simplePos x="0" y="0"/>
              <wp:positionH relativeFrom="column">
                <wp:posOffset>1</wp:posOffset>
              </wp:positionH>
              <wp:positionV relativeFrom="paragraph">
                <wp:posOffset>25400</wp:posOffset>
              </wp:positionV>
              <wp:extent cx="5995670" cy="64769"/>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4C5D8F43" w14:textId="77777777" w:rsidR="00E125C8" w:rsidRDefault="00E125C8">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3DC9AC0" id="Rectangle 9" o:spid="_x0000_s1026"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" fillcolor="#005826" stroked="f">
              <v:textbox inset="2.53958mm,2.53958mm,2.53958mm,2.53958mm">
                <w:txbxContent>
                  <w:p w14:paraId="4C5D8F43" w14:textId="77777777" w:rsidR="00E125C8" w:rsidRDefault="00E125C8">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944FB" w14:textId="77777777" w:rsidR="00E125C8" w:rsidRDefault="00120321">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4C4764">
      <w:rPr>
        <w:rFonts w:ascii="Quintessential" w:eastAsia="Quintessential" w:hAnsi="Quintessential" w:cs="Quintessential"/>
        <w:b/>
        <w:noProof/>
      </w:rPr>
      <w:t>9139</w:t>
    </w:r>
    <w:r>
      <w:rPr>
        <w:rFonts w:ascii="Quintessential" w:eastAsia="Quintessential" w:hAnsi="Quintessential" w:cs="Quintessential"/>
        <w:b/>
      </w:rPr>
      <w:fldChar w:fldCharType="end"/>
    </w:r>
  </w:p>
  <w:p w14:paraId="67180FF9" w14:textId="77777777" w:rsidR="00E125C8" w:rsidRDefault="00120321">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PESHUM : Jurnal Pendidikan, Sosial dan Humaniora</w:t>
    </w:r>
  </w:p>
  <w:p w14:paraId="2129A58A" w14:textId="5359219C" w:rsidR="00E125C8" w:rsidRDefault="005C3B3E">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Vol.5, No.4, Juni 2026</w:t>
    </w:r>
  </w:p>
  <w:p w14:paraId="55C0700E" w14:textId="77777777" w:rsidR="00E125C8" w:rsidRDefault="00120321">
    <w:r>
      <w:rPr>
        <w:noProof/>
        <w:lang w:eastAsia="en-US"/>
      </w:rPr>
      <mc:AlternateContent>
        <mc:Choice Requires="wps">
          <w:drawing>
            <wp:anchor distT="0" distB="0" distL="114300" distR="114300" simplePos="0" relativeHeight="251658240" behindDoc="0" locked="0" layoutInCell="1" hidden="0" allowOverlap="1" wp14:anchorId="1F1A09B1" wp14:editId="44F27F14">
              <wp:simplePos x="0" y="0"/>
              <wp:positionH relativeFrom="column">
                <wp:posOffset>1</wp:posOffset>
              </wp:positionH>
              <wp:positionV relativeFrom="paragraph">
                <wp:posOffset>50800</wp:posOffset>
              </wp:positionV>
              <wp:extent cx="5995670" cy="64769"/>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57917F44" w14:textId="77777777" w:rsidR="00E125C8" w:rsidRDefault="00E125C8">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F1A09B1" id="Rectangle 8" o:spid="_x0000_s1027"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" fillcolor="#005826" stroked="f">
              <v:textbox inset="2.53958mm,2.53958mm,2.53958mm,2.53958mm">
                <w:txbxContent>
                  <w:p w14:paraId="57917F44" w14:textId="77777777" w:rsidR="00E125C8" w:rsidRDefault="00E125C8">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8920" w14:textId="77777777" w:rsidR="00E125C8" w:rsidRDefault="00E125C8">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415579"/>
    <w:multiLevelType w:val="hybridMultilevel"/>
    <w:tmpl w:val="74B6EB36"/>
    <w:lvl w:ilvl="0" w:tplc="4014AEF4">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nsid w:val="47E725BF"/>
    <w:multiLevelType w:val="multilevel"/>
    <w:tmpl w:val="B30A1B54"/>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FA067F9"/>
    <w:multiLevelType w:val="hybridMultilevel"/>
    <w:tmpl w:val="0C6843E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nsid w:val="79697CB3"/>
    <w:multiLevelType w:val="hybridMultilevel"/>
    <w:tmpl w:val="5F5CDF3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5C8"/>
    <w:rsid w:val="00120321"/>
    <w:rsid w:val="0012399B"/>
    <w:rsid w:val="001A27A2"/>
    <w:rsid w:val="001E2AEE"/>
    <w:rsid w:val="0024126E"/>
    <w:rsid w:val="002F69D8"/>
    <w:rsid w:val="00305A15"/>
    <w:rsid w:val="004C4764"/>
    <w:rsid w:val="0054219C"/>
    <w:rsid w:val="0054357F"/>
    <w:rsid w:val="005C3B3E"/>
    <w:rsid w:val="006178D1"/>
    <w:rsid w:val="00835421"/>
    <w:rsid w:val="00902D97"/>
    <w:rsid w:val="00A70F43"/>
    <w:rsid w:val="00C44806"/>
    <w:rsid w:val="00CA62F0"/>
    <w:rsid w:val="00D13672"/>
    <w:rsid w:val="00DC68B7"/>
    <w:rsid w:val="00E125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582E"/>
  <w15:docId w15:val="{BD4F140B-8330-467F-97A9-5BB5C4D6A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57F"/>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3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D:\KVa\Magister%20Ilmu%20Manajemen\bimbingan%20pembuatan%20Artikel%20Pak%20AJ\Data%20scopus%20chart%20grafi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KVa\Magister%20Ilmu%20Manajemen\bimbingan%20pembuatan%20Artikel%20Pak%20AJ\Data%20scopus%20chart%20grafi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KVa\Magister%20Ilmu%20Manajemen\bimbingan%20pembuatan%20Artikel%20Pak%20AJ\Data%20scopus%20chart%20grafik.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Documents by 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'tahun publikasi'!$G$11:$G$26</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'tahun publikasi'!$H$11:$H$26</c:f>
              <c:numCache>
                <c:formatCode>General</c:formatCode>
                <c:ptCount val="16"/>
                <c:pt idx="0">
                  <c:v>8</c:v>
                </c:pt>
                <c:pt idx="1">
                  <c:v>4</c:v>
                </c:pt>
                <c:pt idx="2">
                  <c:v>2</c:v>
                </c:pt>
                <c:pt idx="3">
                  <c:v>4</c:v>
                </c:pt>
                <c:pt idx="4">
                  <c:v>7</c:v>
                </c:pt>
                <c:pt idx="5">
                  <c:v>6</c:v>
                </c:pt>
                <c:pt idx="6">
                  <c:v>3</c:v>
                </c:pt>
                <c:pt idx="7">
                  <c:v>4</c:v>
                </c:pt>
                <c:pt idx="8">
                  <c:v>8</c:v>
                </c:pt>
                <c:pt idx="9">
                  <c:v>8</c:v>
                </c:pt>
                <c:pt idx="10">
                  <c:v>4</c:v>
                </c:pt>
                <c:pt idx="11">
                  <c:v>14</c:v>
                </c:pt>
                <c:pt idx="12">
                  <c:v>9</c:v>
                </c:pt>
                <c:pt idx="13">
                  <c:v>11</c:v>
                </c:pt>
                <c:pt idx="14">
                  <c:v>11</c:v>
                </c:pt>
                <c:pt idx="15">
                  <c:v>11</c:v>
                </c:pt>
              </c:numCache>
            </c:numRef>
          </c:val>
          <c:smooth val="0"/>
          <c:extLst xmlns:c16r2="http://schemas.microsoft.com/office/drawing/2015/06/chart">
            <c:ext xmlns:c16="http://schemas.microsoft.com/office/drawing/2014/chart" uri="{C3380CC4-5D6E-409C-BE32-E72D297353CC}">
              <c16:uniqueId val="{00000000-2458-4FBE-A036-9CEC9A64E04B}"/>
            </c:ext>
          </c:extLst>
        </c:ser>
        <c:dLbls>
          <c:showLegendKey val="0"/>
          <c:showVal val="0"/>
          <c:showCatName val="0"/>
          <c:showSerName val="0"/>
          <c:showPercent val="0"/>
          <c:showBubbleSize val="0"/>
        </c:dLbls>
        <c:smooth val="0"/>
        <c:axId val="340079824"/>
        <c:axId val="340084528"/>
      </c:lineChart>
      <c:catAx>
        <c:axId val="34007982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200"/>
                  <a:t>Year</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0084528"/>
        <c:crosses val="autoZero"/>
        <c:auto val="1"/>
        <c:lblAlgn val="ctr"/>
        <c:lblOffset val="100"/>
        <c:noMultiLvlLbl val="0"/>
      </c:catAx>
      <c:valAx>
        <c:axId val="340084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200"/>
                  <a:t>No. of Documents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0079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Top 10 Academic</a:t>
            </a:r>
            <a:r>
              <a:rPr lang="en-US" b="1" baseline="0">
                <a:latin typeface="Times New Roman" panose="02020603050405020304" pitchFamily="18" charset="0"/>
                <a:cs typeface="Times New Roman" panose="02020603050405020304" pitchFamily="18" charset="0"/>
              </a:rPr>
              <a:t> Sources</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sources!$H$5</c:f>
              <c:strCache>
                <c:ptCount val="1"/>
                <c:pt idx="0">
                  <c:v>Documents</c:v>
                </c:pt>
              </c:strCache>
            </c:strRef>
          </c:tx>
          <c:spPr>
            <a:solidFill>
              <a:schemeClr val="accent1"/>
            </a:solidFill>
            <a:ln>
              <a:noFill/>
            </a:ln>
            <a:effectLst/>
          </c:spPr>
          <c:invertIfNegative val="0"/>
          <c:dPt>
            <c:idx val="0"/>
            <c:invertIfNegative val="0"/>
            <c:bubble3D val="0"/>
            <c:spPr>
              <a:solidFill>
                <a:schemeClr val="accent1">
                  <a:lumMod val="75000"/>
                </a:schemeClr>
              </a:solidFill>
              <a:ln>
                <a:noFill/>
              </a:ln>
              <a:effectLst/>
            </c:spPr>
            <c:extLst xmlns:c16r2="http://schemas.microsoft.com/office/drawing/2015/06/chart">
              <c:ext xmlns:c16="http://schemas.microsoft.com/office/drawing/2014/chart" uri="{C3380CC4-5D6E-409C-BE32-E72D297353CC}">
                <c16:uniqueId val="{00000001-3153-4806-8F5F-F7D6A1597BEA}"/>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3153-4806-8F5F-F7D6A1597BEA}"/>
              </c:ext>
            </c:extLst>
          </c:dPt>
          <c:dPt>
            <c:idx val="2"/>
            <c:invertIfNegative val="0"/>
            <c:bubble3D val="0"/>
            <c:spPr>
              <a:solidFill>
                <a:schemeClr val="accent6">
                  <a:lumMod val="60000"/>
                  <a:lumOff val="40000"/>
                </a:schemeClr>
              </a:solidFill>
              <a:ln>
                <a:noFill/>
              </a:ln>
              <a:effectLst/>
            </c:spPr>
            <c:extLst xmlns:c16r2="http://schemas.microsoft.com/office/drawing/2015/06/chart">
              <c:ext xmlns:c16="http://schemas.microsoft.com/office/drawing/2014/chart" uri="{C3380CC4-5D6E-409C-BE32-E72D297353CC}">
                <c16:uniqueId val="{00000005-3153-4806-8F5F-F7D6A1597BEA}"/>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7-3153-4806-8F5F-F7D6A1597BEA}"/>
              </c:ext>
            </c:extLst>
          </c:dPt>
          <c:dPt>
            <c:idx val="4"/>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9-3153-4806-8F5F-F7D6A1597BEA}"/>
              </c:ext>
            </c:extLst>
          </c:dPt>
          <c:dPt>
            <c:idx val="5"/>
            <c:invertIfNegative val="0"/>
            <c:bubble3D val="0"/>
            <c:spPr>
              <a:solidFill>
                <a:schemeClr val="bg2">
                  <a:lumMod val="50000"/>
                </a:schemeClr>
              </a:solidFill>
              <a:ln>
                <a:noFill/>
              </a:ln>
              <a:effectLst/>
            </c:spPr>
            <c:extLst xmlns:c16r2="http://schemas.microsoft.com/office/drawing/2015/06/chart">
              <c:ext xmlns:c16="http://schemas.microsoft.com/office/drawing/2014/chart" uri="{C3380CC4-5D6E-409C-BE32-E72D297353CC}">
                <c16:uniqueId val="{0000000B-3153-4806-8F5F-F7D6A1597BEA}"/>
              </c:ext>
            </c:extLst>
          </c:dPt>
          <c:dPt>
            <c:idx val="6"/>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D-3153-4806-8F5F-F7D6A1597BEA}"/>
              </c:ext>
            </c:extLst>
          </c:dPt>
          <c:dPt>
            <c:idx val="7"/>
            <c:invertIfNegative val="0"/>
            <c:bubble3D val="0"/>
            <c:spPr>
              <a:solidFill>
                <a:srgbClr val="008000"/>
              </a:solidFill>
              <a:ln>
                <a:noFill/>
              </a:ln>
              <a:effectLst/>
            </c:spPr>
            <c:extLst xmlns:c16r2="http://schemas.microsoft.com/office/drawing/2015/06/chart">
              <c:ext xmlns:c16="http://schemas.microsoft.com/office/drawing/2014/chart" uri="{C3380CC4-5D6E-409C-BE32-E72D297353CC}">
                <c16:uniqueId val="{0000000F-3153-4806-8F5F-F7D6A1597BEA}"/>
              </c:ext>
            </c:extLst>
          </c:dPt>
          <c:dPt>
            <c:idx val="8"/>
            <c:invertIfNegative val="0"/>
            <c:bubble3D val="0"/>
            <c:spPr>
              <a:solidFill>
                <a:srgbClr val="FF00FF"/>
              </a:solidFill>
              <a:ln>
                <a:noFill/>
              </a:ln>
              <a:effectLst/>
            </c:spPr>
            <c:extLst xmlns:c16r2="http://schemas.microsoft.com/office/drawing/2015/06/chart">
              <c:ext xmlns:c16="http://schemas.microsoft.com/office/drawing/2014/chart" uri="{C3380CC4-5D6E-409C-BE32-E72D297353CC}">
                <c16:uniqueId val="{00000011-3153-4806-8F5F-F7D6A1597BEA}"/>
              </c:ext>
            </c:extLst>
          </c:dPt>
          <c:dPt>
            <c:idx val="9"/>
            <c:invertIfNegative val="0"/>
            <c:bubble3D val="0"/>
            <c:spPr>
              <a:solidFill>
                <a:srgbClr val="33CCFF"/>
              </a:solidFill>
              <a:ln>
                <a:noFill/>
              </a:ln>
              <a:effectLst/>
            </c:spPr>
            <c:extLst xmlns:c16r2="http://schemas.microsoft.com/office/drawing/2015/06/chart">
              <c:ext xmlns:c16="http://schemas.microsoft.com/office/drawing/2014/chart" uri="{C3380CC4-5D6E-409C-BE32-E72D297353CC}">
                <c16:uniqueId val="{00000013-3153-4806-8F5F-F7D6A1597BEA}"/>
              </c:ext>
            </c:extLst>
          </c:dPt>
          <c:cat>
            <c:strRef>
              <c:f>sources!$G$6:$G$15</c:f>
              <c:strCache>
                <c:ptCount val="10"/>
                <c:pt idx="0">
                  <c:v>Journal of Management</c:v>
                </c:pt>
                <c:pt idx="1">
                  <c:v>Journal of Business Research</c:v>
                </c:pt>
                <c:pt idx="2">
                  <c:v>Journal of Cleaner Production</c:v>
                </c:pt>
                <c:pt idx="3">
                  <c:v>Sustainability Switzerland</c:v>
                </c:pt>
                <c:pt idx="4">
                  <c:v>Business Strategy and the Environment</c:v>
                </c:pt>
                <c:pt idx="5">
                  <c:v>Competitiveness Review</c:v>
                </c:pt>
                <c:pt idx="6">
                  <c:v>IEEE Transactions on Engineering Management</c:v>
                </c:pt>
                <c:pt idx="7">
                  <c:v>Information and Management</c:v>
                </c:pt>
                <c:pt idx="8">
                  <c:v>International Journal of Production Economics</c:v>
                </c:pt>
                <c:pt idx="9">
                  <c:v>Journal of Business Ethics</c:v>
                </c:pt>
              </c:strCache>
            </c:strRef>
          </c:cat>
          <c:val>
            <c:numRef>
              <c:f>sources!$H$6:$H$15</c:f>
              <c:numCache>
                <c:formatCode>General</c:formatCode>
                <c:ptCount val="10"/>
                <c:pt idx="0">
                  <c:v>8</c:v>
                </c:pt>
                <c:pt idx="1">
                  <c:v>3</c:v>
                </c:pt>
                <c:pt idx="2">
                  <c:v>3</c:v>
                </c:pt>
                <c:pt idx="3">
                  <c:v>3</c:v>
                </c:pt>
                <c:pt idx="4">
                  <c:v>2</c:v>
                </c:pt>
                <c:pt idx="5">
                  <c:v>2</c:v>
                </c:pt>
                <c:pt idx="6">
                  <c:v>2</c:v>
                </c:pt>
                <c:pt idx="7">
                  <c:v>2</c:v>
                </c:pt>
                <c:pt idx="8">
                  <c:v>2</c:v>
                </c:pt>
                <c:pt idx="9">
                  <c:v>2</c:v>
                </c:pt>
              </c:numCache>
            </c:numRef>
          </c:val>
          <c:extLst xmlns:c16r2="http://schemas.microsoft.com/office/drawing/2015/06/chart">
            <c:ext xmlns:c16="http://schemas.microsoft.com/office/drawing/2014/chart" uri="{C3380CC4-5D6E-409C-BE32-E72D297353CC}">
              <c16:uniqueId val="{00000014-3153-4806-8F5F-F7D6A1597BEA}"/>
            </c:ext>
          </c:extLst>
        </c:ser>
        <c:dLbls>
          <c:showLegendKey val="0"/>
          <c:showVal val="0"/>
          <c:showCatName val="0"/>
          <c:showSerName val="0"/>
          <c:showPercent val="0"/>
          <c:showBubbleSize val="0"/>
        </c:dLbls>
        <c:gapWidth val="150"/>
        <c:overlap val="100"/>
        <c:axId val="340082960"/>
        <c:axId val="340080216"/>
      </c:barChart>
      <c:catAx>
        <c:axId val="340082960"/>
        <c:scaling>
          <c:orientation val="minMax"/>
        </c:scaling>
        <c:delete val="1"/>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200" b="1">
                    <a:latin typeface="Times New Roman" panose="02020603050405020304" pitchFamily="18" charset="0"/>
                    <a:cs typeface="Times New Roman" panose="02020603050405020304" pitchFamily="18" charset="0"/>
                  </a:rPr>
                  <a:t>Sources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crossAx val="340080216"/>
        <c:crosses val="autoZero"/>
        <c:auto val="1"/>
        <c:lblAlgn val="ctr"/>
        <c:lblOffset val="100"/>
        <c:noMultiLvlLbl val="0"/>
      </c:catAx>
      <c:valAx>
        <c:axId val="340080216"/>
        <c:scaling>
          <c:orientation val="minMax"/>
        </c:scaling>
        <c:delete val="0"/>
        <c:axPos val="l"/>
        <c:majorGridlines>
          <c:spPr>
            <a:ln w="19050"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200" b="1">
                    <a:latin typeface="Times New Roman" panose="02020603050405020304" pitchFamily="18" charset="0"/>
                    <a:cs typeface="Times New Roman" panose="02020603050405020304" pitchFamily="18" charset="0"/>
                  </a:rPr>
                  <a:t>No. of Documents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08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400"/>
              <a:t>Documents by Affiliation</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affiliations!$G$4:$G$13</c:f>
              <c:strCache>
                <c:ptCount val="10"/>
                <c:pt idx="0">
                  <c:v>Friedrich-Alexander-Universität Erlangen-Nürnberg</c:v>
                </c:pt>
                <c:pt idx="1">
                  <c:v>Universidade da Beira Interior</c:v>
                </c:pt>
                <c:pt idx="2">
                  <c:v>Universiti Kebangsaan Malaysia</c:v>
                </c:pt>
                <c:pt idx="3">
                  <c:v>King's College London</c:v>
                </c:pt>
                <c:pt idx="4">
                  <c:v>University of York</c:v>
                </c:pt>
                <c:pt idx="5">
                  <c:v>Universidad de Zaragoza</c:v>
                </c:pt>
                <c:pt idx="6">
                  <c:v>National University of Singapore</c:v>
                </c:pt>
                <c:pt idx="7">
                  <c:v>Liverpool Business School</c:v>
                </c:pt>
                <c:pt idx="8">
                  <c:v>Pécsi Tudományegyetem</c:v>
                </c:pt>
                <c:pt idx="9">
                  <c:v>University of Pécs Faculty of Business and Economics</c:v>
                </c:pt>
              </c:strCache>
            </c:strRef>
          </c:cat>
          <c:val>
            <c:numRef>
              <c:f>affiliations!$H$4:$H$13</c:f>
              <c:numCache>
                <c:formatCode>General</c:formatCode>
                <c:ptCount val="10"/>
                <c:pt idx="0">
                  <c:v>2</c:v>
                </c:pt>
                <c:pt idx="1">
                  <c:v>2</c:v>
                </c:pt>
                <c:pt idx="2">
                  <c:v>2</c:v>
                </c:pt>
                <c:pt idx="3">
                  <c:v>2</c:v>
                </c:pt>
                <c:pt idx="4">
                  <c:v>2</c:v>
                </c:pt>
                <c:pt idx="5">
                  <c:v>2</c:v>
                </c:pt>
                <c:pt idx="6">
                  <c:v>2</c:v>
                </c:pt>
                <c:pt idx="7">
                  <c:v>3</c:v>
                </c:pt>
                <c:pt idx="8">
                  <c:v>4</c:v>
                </c:pt>
                <c:pt idx="9">
                  <c:v>4</c:v>
                </c:pt>
              </c:numCache>
            </c:numRef>
          </c:val>
          <c:extLst xmlns:c16r2="http://schemas.microsoft.com/office/drawing/2015/06/chart">
            <c:ext xmlns:c16="http://schemas.microsoft.com/office/drawing/2014/chart" uri="{C3380CC4-5D6E-409C-BE32-E72D297353CC}">
              <c16:uniqueId val="{00000000-F2F2-496E-B18A-ADA487314207}"/>
            </c:ext>
          </c:extLst>
        </c:ser>
        <c:dLbls>
          <c:showLegendKey val="0"/>
          <c:showVal val="0"/>
          <c:showCatName val="0"/>
          <c:showSerName val="0"/>
          <c:showPercent val="0"/>
          <c:showBubbleSize val="0"/>
        </c:dLbls>
        <c:gapWidth val="115"/>
        <c:overlap val="-20"/>
        <c:axId val="340080608"/>
        <c:axId val="340085704"/>
      </c:barChart>
      <c:catAx>
        <c:axId val="340080608"/>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Affiliations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0085704"/>
        <c:crosses val="autoZero"/>
        <c:auto val="1"/>
        <c:lblAlgn val="ctr"/>
        <c:lblOffset val="100"/>
        <c:noMultiLvlLbl val="0"/>
      </c:catAx>
      <c:valAx>
        <c:axId val="340085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t>No. of Documents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0080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10894</Words>
  <Characters>62102</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2</cp:revision>
  <dcterms:created xsi:type="dcterms:W3CDTF">2026-06-02T05:16:00Z</dcterms:created>
  <dcterms:modified xsi:type="dcterms:W3CDTF">2026-06-02T05:16:00Z</dcterms:modified>
</cp:coreProperties>
</file>