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9AC21" w14:textId="77777777" w:rsidR="00092A4B" w:rsidRDefault="001B2295" w:rsidP="00B82E85">
      <w:pPr>
        <w:jc w:val="center"/>
        <w:rPr>
          <w:rFonts w:ascii="Times New Roman" w:eastAsia="Times New Roman" w:hAnsi="Times New Roman" w:cs="Times New Roman"/>
          <w:b/>
          <w:bCs/>
        </w:rPr>
      </w:pPr>
      <w:r w:rsidRPr="00B82E85">
        <w:rPr>
          <w:rFonts w:ascii="Times New Roman" w:eastAsia="Times New Roman" w:hAnsi="Times New Roman" w:cs="Times New Roman"/>
          <w:b/>
          <w:bCs/>
          <w:sz w:val="32"/>
        </w:rPr>
        <w:t xml:space="preserve">Pengaruh Frekuensi Komite Audit dan Sustainability Report Assurance terhadap Nilai Perusahaan </w:t>
      </w:r>
    </w:p>
    <w:p w14:paraId="1E2D3074" w14:textId="77777777" w:rsidR="00092A4B" w:rsidRDefault="00092A4B" w:rsidP="00B82E85">
      <w:pPr>
        <w:jc w:val="center"/>
        <w:rPr>
          <w:rFonts w:ascii="Times New Roman" w:eastAsia="Times New Roman" w:hAnsi="Times New Roman" w:cs="Times New Roman"/>
          <w:b/>
          <w:bCs/>
        </w:rPr>
      </w:pPr>
    </w:p>
    <w:p w14:paraId="46A88A09" w14:textId="77777777" w:rsidR="00092A4B" w:rsidRDefault="001B2295" w:rsidP="00B82E85">
      <w:pPr>
        <w:jc w:val="center"/>
        <w:rPr>
          <w:rFonts w:ascii="Times New Roman" w:eastAsia="Times New Roman" w:hAnsi="Times New Roman" w:cs="Times New Roman"/>
          <w:b/>
          <w:bCs/>
        </w:rPr>
      </w:pPr>
      <w:r>
        <w:rPr>
          <w:rFonts w:ascii="Times New Roman" w:eastAsia="Times New Roman" w:hAnsi="Times New Roman" w:cs="Times New Roman"/>
          <w:b/>
          <w:bCs/>
        </w:rPr>
        <w:t>Evita Nirmala</w:t>
      </w:r>
      <w:r>
        <w:rPr>
          <w:rFonts w:ascii="Times New Roman" w:eastAsia="Times New Roman" w:hAnsi="Times New Roman" w:cs="Times New Roman"/>
          <w:b/>
          <w:bCs/>
          <w:vertAlign w:val="superscript"/>
        </w:rPr>
        <w:t>1</w:t>
      </w:r>
      <w:r>
        <w:rPr>
          <w:rFonts w:ascii="Times New Roman" w:eastAsia="Times New Roman" w:hAnsi="Times New Roman" w:cs="Times New Roman"/>
          <w:b/>
          <w:bCs/>
        </w:rPr>
        <w:t>, Mila Susanti</w:t>
      </w:r>
      <w:r>
        <w:rPr>
          <w:rFonts w:ascii="Times New Roman" w:eastAsia="Times New Roman" w:hAnsi="Times New Roman" w:cs="Times New Roman"/>
          <w:b/>
          <w:bCs/>
          <w:vertAlign w:val="superscript"/>
        </w:rPr>
        <w:t>2</w:t>
      </w:r>
      <w:r>
        <w:rPr>
          <w:rFonts w:ascii="Times New Roman" w:eastAsia="Times New Roman" w:hAnsi="Times New Roman" w:cs="Times New Roman"/>
          <w:b/>
          <w:bCs/>
        </w:rPr>
        <w:t>, Marthinus Ismail</w:t>
      </w:r>
      <w:r>
        <w:rPr>
          <w:rFonts w:ascii="Times New Roman" w:eastAsia="Times New Roman" w:hAnsi="Times New Roman" w:cs="Times New Roman"/>
          <w:b/>
          <w:bCs/>
          <w:vertAlign w:val="superscript"/>
        </w:rPr>
        <w:t>3</w:t>
      </w:r>
    </w:p>
    <w:p w14:paraId="4AC46871" w14:textId="77777777" w:rsidR="00092A4B" w:rsidRDefault="001B2295" w:rsidP="00B82E85">
      <w:pPr>
        <w:tabs>
          <w:tab w:val="left" w:pos="3615"/>
        </w:tabs>
        <w:jc w:val="center"/>
        <w:rPr>
          <w:rFonts w:ascii="Times New Roman" w:eastAsia="Times New Roman" w:hAnsi="Times New Roman" w:cs="Times New Roman"/>
        </w:rPr>
      </w:pPr>
      <w:r>
        <w:rPr>
          <w:rFonts w:ascii="Times New Roman" w:eastAsia="Times New Roman" w:hAnsi="Times New Roman" w:cs="Times New Roman"/>
          <w:vertAlign w:val="superscript"/>
        </w:rPr>
        <w:t>1,2,3</w:t>
      </w:r>
      <w:r>
        <w:rPr>
          <w:rFonts w:ascii="Times New Roman" w:eastAsia="Times New Roman" w:hAnsi="Times New Roman" w:cs="Times New Roman"/>
        </w:rPr>
        <w:t>Program Studi Akuntansi, Fakultas Ekonomi, Universitas Advent Indonesia</w:t>
      </w:r>
    </w:p>
    <w:p w14:paraId="2BABC3A7" w14:textId="2E11E34A" w:rsidR="00092A4B" w:rsidRPr="00B82E85" w:rsidRDefault="001B2295" w:rsidP="00B82E85">
      <w:pPr>
        <w:pStyle w:val="Subtitle"/>
        <w:spacing w:after="240" w:line="240" w:lineRule="auto"/>
        <w:rPr>
          <w:b/>
          <w:bCs/>
          <w:sz w:val="18"/>
          <w:szCs w:val="18"/>
          <w:vertAlign w:val="superscript"/>
        </w:rPr>
      </w:pPr>
      <w:r>
        <w:rPr>
          <w:rFonts w:ascii="Times New Roman" w:eastAsia="Times New Roman" w:hAnsi="Times New Roman" w:cs="Times New Roman"/>
        </w:rPr>
        <w:t>E</w:t>
      </w:r>
      <w:r>
        <w:rPr>
          <w:rFonts w:ascii="Times New Roman" w:eastAsia="Times New Roman" w:hAnsi="Times New Roman" w:cs="Times New Roman"/>
          <w:sz w:val="22"/>
          <w:szCs w:val="22"/>
        </w:rPr>
        <w:t>-mail</w:t>
      </w:r>
      <w:r w:rsidRPr="00B82E85">
        <w:rPr>
          <w:rFonts w:ascii="Times New Roman" w:eastAsia="Times New Roman" w:hAnsi="Times New Roman" w:cs="Times New Roman"/>
          <w:sz w:val="22"/>
          <w:szCs w:val="22"/>
        </w:rPr>
        <w:t xml:space="preserve">: </w:t>
      </w:r>
      <w:hyperlink r:id="rId7">
        <w:r w:rsidRPr="00B82E85">
          <w:rPr>
            <w:rFonts w:ascii="Times New Roman" w:eastAsia="Times New Roman" w:hAnsi="Times New Roman" w:cs="Times New Roman"/>
            <w:sz w:val="22"/>
            <w:szCs w:val="22"/>
          </w:rPr>
          <w:t>2332049@unai.edu</w:t>
        </w:r>
      </w:hyperlink>
      <w:r w:rsidR="00B82E85">
        <w:rPr>
          <w:rFonts w:ascii="Times New Roman" w:eastAsia="Times New Roman" w:hAnsi="Times New Roman" w:cs="Times New Roman"/>
          <w:sz w:val="22"/>
          <w:szCs w:val="22"/>
          <w:vertAlign w:val="superscript"/>
        </w:rPr>
        <w:t>1</w:t>
      </w:r>
      <w:r w:rsidRPr="00B82E85">
        <w:rPr>
          <w:rFonts w:ascii="Times New Roman" w:eastAsia="Times New Roman" w:hAnsi="Times New Roman" w:cs="Times New Roman"/>
          <w:sz w:val="22"/>
          <w:szCs w:val="22"/>
        </w:rPr>
        <w:t>,</w:t>
      </w:r>
      <w:r w:rsidRPr="00B82E85">
        <w:rPr>
          <w:rFonts w:ascii="Times New Roman" w:eastAsia="Times New Roman" w:hAnsi="Times New Roman" w:cs="Times New Roman"/>
          <w:sz w:val="22"/>
          <w:szCs w:val="22"/>
          <w:vertAlign w:val="superscript"/>
        </w:rPr>
        <w:t xml:space="preserve"> </w:t>
      </w:r>
      <w:hyperlink r:id="rId8">
        <w:r w:rsidRPr="00B82E85">
          <w:rPr>
            <w:rFonts w:ascii="Times New Roman" w:eastAsia="Times New Roman" w:hAnsi="Times New Roman" w:cs="Times New Roman"/>
            <w:sz w:val="22"/>
            <w:szCs w:val="22"/>
          </w:rPr>
          <w:t>milasusanti@unai.edu</w:t>
        </w:r>
      </w:hyperlink>
      <w:r w:rsidR="00B82E85">
        <w:rPr>
          <w:rFonts w:ascii="Times New Roman" w:eastAsia="Times New Roman" w:hAnsi="Times New Roman" w:cs="Times New Roman"/>
          <w:sz w:val="22"/>
          <w:szCs w:val="22"/>
          <w:vertAlign w:val="superscript"/>
        </w:rPr>
        <w:t>2</w:t>
      </w:r>
      <w:r w:rsidRPr="00B82E85">
        <w:rPr>
          <w:rFonts w:ascii="Times New Roman" w:eastAsia="Times New Roman" w:hAnsi="Times New Roman" w:cs="Times New Roman"/>
          <w:sz w:val="22"/>
          <w:szCs w:val="22"/>
        </w:rPr>
        <w:t xml:space="preserve">, </w:t>
      </w:r>
      <w:hyperlink r:id="rId9">
        <w:r w:rsidRPr="00B82E85">
          <w:rPr>
            <w:rFonts w:ascii="Times New Roman" w:eastAsia="Times New Roman" w:hAnsi="Times New Roman" w:cs="Times New Roman"/>
            <w:sz w:val="22"/>
            <w:szCs w:val="22"/>
          </w:rPr>
          <w:t>marthin_smile@unai.edu</w:t>
        </w:r>
      </w:hyperlink>
      <w:r w:rsidR="00B82E85">
        <w:rPr>
          <w:rFonts w:ascii="Times New Roman" w:eastAsia="Times New Roman" w:hAnsi="Times New Roman" w:cs="Times New Roman"/>
          <w:sz w:val="22"/>
          <w:szCs w:val="22"/>
          <w:vertAlign w:val="superscript"/>
        </w:rPr>
        <w:t>3</w:t>
      </w:r>
    </w:p>
    <w:tbl>
      <w:tblPr>
        <w:tblStyle w:val="a"/>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915"/>
      </w:tblGrid>
      <w:tr w:rsidR="00092A4B" w14:paraId="16282E3C" w14:textId="77777777" w:rsidTr="00B82E85">
        <w:tc>
          <w:tcPr>
            <w:tcW w:w="3153" w:type="dxa"/>
            <w:tcBorders>
              <w:top w:val="single" w:sz="8" w:space="0" w:color="005426"/>
            </w:tcBorders>
          </w:tcPr>
          <w:p w14:paraId="777D9988" w14:textId="77777777" w:rsidR="00092A4B" w:rsidRDefault="001B2295" w:rsidP="00B82E85">
            <w:pPr>
              <w:rPr>
                <w:rFonts w:ascii="Times New Roman" w:eastAsia="Times New Roman" w:hAnsi="Times New Roman" w:cs="Times New Roman"/>
                <w:b/>
                <w:bCs/>
              </w:rPr>
            </w:pPr>
            <w:r>
              <w:rPr>
                <w:rFonts w:ascii="Times New Roman" w:eastAsia="Times New Roman" w:hAnsi="Times New Roman" w:cs="Times New Roman"/>
                <w:b/>
                <w:bCs/>
              </w:rPr>
              <w:t>A</w:t>
            </w:r>
            <w:r>
              <w:rPr>
                <w:rFonts w:ascii="Times New Roman" w:eastAsia="Times New Roman" w:hAnsi="Times New Roman" w:cs="Times New Roman"/>
                <w:b/>
                <w:bCs/>
              </w:rPr>
              <w:t>rticle History:</w:t>
            </w:r>
          </w:p>
          <w:p w14:paraId="40150801" w14:textId="77777777" w:rsidR="00B82E85" w:rsidRPr="00080617" w:rsidRDefault="00B82E85" w:rsidP="00B82E85">
            <w:pPr>
              <w:ind w:left="144" w:hanging="127"/>
              <w:rPr>
                <w:rFonts w:ascii="Times New Roman" w:hAnsi="Times New Roman" w:cs="Times New Roman"/>
                <w:color w:val="auto"/>
              </w:rPr>
            </w:pPr>
            <w:r w:rsidRPr="00080617">
              <w:rPr>
                <w:rFonts w:ascii="Times New Roman" w:hAnsi="Times New Roman" w:cs="Times New Roman"/>
                <w:color w:val="auto"/>
              </w:rPr>
              <w:t>Received: 28 Februari 2026</w:t>
            </w:r>
          </w:p>
          <w:p w14:paraId="01E0DDA4" w14:textId="77777777" w:rsidR="00B82E85" w:rsidRPr="00080617" w:rsidRDefault="00B82E85" w:rsidP="00B82E85">
            <w:pPr>
              <w:ind w:left="144" w:hanging="127"/>
              <w:rPr>
                <w:rFonts w:ascii="Times New Roman" w:hAnsi="Times New Roman" w:cs="Times New Roman"/>
                <w:color w:val="auto"/>
              </w:rPr>
            </w:pPr>
            <w:r w:rsidRPr="00080617">
              <w:rPr>
                <w:rFonts w:ascii="Times New Roman" w:hAnsi="Times New Roman" w:cs="Times New Roman"/>
                <w:color w:val="auto"/>
              </w:rPr>
              <w:t>Revised: 10 Maret 2026</w:t>
            </w:r>
          </w:p>
          <w:p w14:paraId="13EDCFC7" w14:textId="2AA396CD" w:rsidR="00092A4B" w:rsidRDefault="00B82E85" w:rsidP="00B82E85">
            <w:pPr>
              <w:ind w:left="-36"/>
              <w:rPr>
                <w:rFonts w:ascii="Times New Roman" w:eastAsia="Times New Roman" w:hAnsi="Times New Roman" w:cs="Times New Roman"/>
              </w:rPr>
            </w:pPr>
            <w:r w:rsidRPr="00080617">
              <w:rPr>
                <w:rFonts w:ascii="Times New Roman" w:hAnsi="Times New Roman" w:cs="Times New Roman"/>
                <w:color w:val="auto"/>
              </w:rPr>
              <w:t>Accepted: 23 Maret 2026</w:t>
            </w:r>
            <w:r w:rsidR="001B2295">
              <w:rPr>
                <w:rFonts w:ascii="Times New Roman" w:eastAsia="Times New Roman" w:hAnsi="Times New Roman" w:cs="Times New Roman"/>
              </w:rPr>
              <w:t xml:space="preserve"> </w:t>
            </w:r>
          </w:p>
          <w:p w14:paraId="2548BE04" w14:textId="77777777" w:rsidR="00092A4B" w:rsidRDefault="00092A4B" w:rsidP="00B82E85">
            <w:pPr>
              <w:rPr>
                <w:rFonts w:ascii="Times New Roman" w:eastAsia="Times New Roman" w:hAnsi="Times New Roman" w:cs="Times New Roman"/>
                <w:b/>
                <w:bCs/>
              </w:rPr>
            </w:pPr>
          </w:p>
          <w:p w14:paraId="72AE662F" w14:textId="77777777" w:rsidR="00092A4B" w:rsidRDefault="00092A4B" w:rsidP="00B82E85">
            <w:pPr>
              <w:rPr>
                <w:rFonts w:ascii="Times New Roman" w:eastAsia="Times New Roman" w:hAnsi="Times New Roman" w:cs="Times New Roman"/>
                <w:b/>
                <w:bCs/>
              </w:rPr>
            </w:pPr>
          </w:p>
        </w:tc>
        <w:tc>
          <w:tcPr>
            <w:tcW w:w="430" w:type="dxa"/>
            <w:vMerge w:val="restart"/>
            <w:tcBorders>
              <w:top w:val="single" w:sz="8" w:space="0" w:color="005426"/>
            </w:tcBorders>
          </w:tcPr>
          <w:p w14:paraId="279304E6" w14:textId="77777777" w:rsidR="00092A4B" w:rsidRDefault="00092A4B" w:rsidP="00B82E85">
            <w:pPr>
              <w:rPr>
                <w:rFonts w:ascii="Times New Roman" w:eastAsia="Times New Roman" w:hAnsi="Times New Roman" w:cs="Times New Roman"/>
                <w:b/>
                <w:bCs/>
              </w:rPr>
            </w:pPr>
          </w:p>
        </w:tc>
        <w:tc>
          <w:tcPr>
            <w:tcW w:w="5915" w:type="dxa"/>
            <w:vMerge w:val="restart"/>
            <w:tcBorders>
              <w:top w:val="single" w:sz="8" w:space="0" w:color="005426"/>
            </w:tcBorders>
          </w:tcPr>
          <w:p w14:paraId="4E2FADB7" w14:textId="77777777" w:rsidR="00092A4B" w:rsidRDefault="001B2295" w:rsidP="00B82E85">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b/>
                <w:bCs/>
                <w:i/>
                <w:iCs/>
              </w:rPr>
              <w:t xml:space="preserve">Abstract: </w:t>
            </w:r>
            <w:r>
              <w:rPr>
                <w:rFonts w:ascii="Times New Roman" w:eastAsia="Times New Roman" w:hAnsi="Times New Roman" w:cs="Times New Roman"/>
                <w:i/>
                <w:iCs/>
              </w:rPr>
              <w:t>Bagi investor, nilai perusahaan menjadi salah satu ukuran yang digunaka</w:t>
            </w:r>
            <w:r>
              <w:rPr>
                <w:rFonts w:ascii="Times New Roman" w:eastAsia="Times New Roman" w:hAnsi="Times New Roman" w:cs="Times New Roman"/>
                <w:i/>
                <w:iCs/>
              </w:rPr>
              <w:t>n untuk mengambil keputusan investasi. Nilai perusahaan yang terlalu tinggi atau overvalued mengandung risiko, walaupun yang undervalued menjadi incaran investor, namun keputusan inipun harus disertakan dengan analisis fundamental lainnya. Beberapa hal yan</w:t>
            </w:r>
            <w:r>
              <w:rPr>
                <w:rFonts w:ascii="Times New Roman" w:eastAsia="Times New Roman" w:hAnsi="Times New Roman" w:cs="Times New Roman"/>
                <w:i/>
                <w:iCs/>
              </w:rPr>
              <w:t>g menyebabkan munculnya variasi nilai perusahaan, diantaranya kendali dari komite audit dan maraknya kebutuhan jaminan keberlanjutan perusahaan. Oleh sebab itu, penelitian ini bertujuan untuk mengetahui pengaruh frekuensi komite audit dan sustainability re</w:t>
            </w:r>
            <w:r>
              <w:rPr>
                <w:rFonts w:ascii="Times New Roman" w:eastAsia="Times New Roman" w:hAnsi="Times New Roman" w:cs="Times New Roman"/>
                <w:i/>
                <w:iCs/>
              </w:rPr>
              <w:t>port assurance terhadap nilai perusahaan. Penelitian ini menggunakan data sekunder pada perusahaan yang terindeks IDX30 periode 2022-2024 menggunakan metode deskriptif asosiatif dengan analisis deskriptif dan analisis regresi. Populasi penelitian terdiri d</w:t>
            </w:r>
            <w:r>
              <w:rPr>
                <w:rFonts w:ascii="Times New Roman" w:eastAsia="Times New Roman" w:hAnsi="Times New Roman" w:cs="Times New Roman"/>
                <w:i/>
                <w:iCs/>
              </w:rPr>
              <w:t>ari 30 perusahaan yang terindeks IDX30, namun diberlakukan purposive sampling yaitu konsistensi berada pada indeks pada periode penelitian dan menyampaikan sustainability report assurance, sehingga didapati 23 perusahaan sampel. Hasil penelitian memberikan</w:t>
            </w:r>
            <w:r>
              <w:rPr>
                <w:rFonts w:ascii="Times New Roman" w:eastAsia="Times New Roman" w:hAnsi="Times New Roman" w:cs="Times New Roman"/>
                <w:i/>
                <w:iCs/>
              </w:rPr>
              <w:t xml:space="preserve"> gambaran bahwa frekuensi komite audit tidak memiliki kontribusi dalam menentukan nilai perusahaan, demikian juga dengan sustainability repot assurance baik secara parsial dan simultan. Hal ini menggambarkan bahwa banyaknya frekuensi komite audit tidak men</w:t>
            </w:r>
            <w:r>
              <w:rPr>
                <w:rFonts w:ascii="Times New Roman" w:eastAsia="Times New Roman" w:hAnsi="Times New Roman" w:cs="Times New Roman"/>
                <w:i/>
                <w:iCs/>
              </w:rPr>
              <w:t>jamin terwujudnya optimalisasi nilai perusahaan. Demikian juga dengan sustainability report assurance yang tidak mampu berkontribusi langsung kepada nilai perusahaan, tapi lebih berkontribusi kepada peningkatan kualitas lingkungan.</w:t>
            </w:r>
          </w:p>
        </w:tc>
      </w:tr>
      <w:tr w:rsidR="00092A4B" w14:paraId="45F74913" w14:textId="77777777" w:rsidTr="00B82E85">
        <w:trPr>
          <w:trHeight w:val="1125"/>
        </w:trPr>
        <w:tc>
          <w:tcPr>
            <w:tcW w:w="3153" w:type="dxa"/>
            <w:tcBorders>
              <w:bottom w:val="single" w:sz="4" w:space="0" w:color="auto"/>
            </w:tcBorders>
          </w:tcPr>
          <w:p w14:paraId="1E8264BA" w14:textId="1140FC16" w:rsidR="00092A4B" w:rsidRDefault="001B2295" w:rsidP="00B82E85">
            <w:pPr>
              <w:rPr>
                <w:rFonts w:ascii="Times New Roman" w:eastAsia="Times New Roman" w:hAnsi="Times New Roman" w:cs="Times New Roman"/>
                <w:b/>
                <w:bCs/>
              </w:rPr>
            </w:pPr>
            <w:r>
              <w:rPr>
                <w:rFonts w:ascii="Times New Roman" w:eastAsia="Times New Roman" w:hAnsi="Times New Roman" w:cs="Times New Roman"/>
                <w:b/>
                <w:bCs/>
              </w:rPr>
              <w:t xml:space="preserve">Keywords: </w:t>
            </w:r>
            <w:r w:rsidR="00B82E85">
              <w:rPr>
                <w:rFonts w:ascii="Times New Roman" w:eastAsia="Times New Roman" w:hAnsi="Times New Roman" w:cs="Times New Roman"/>
                <w:i/>
                <w:iCs/>
              </w:rPr>
              <w:t>Frekuensi Komite Audit, Sustainability Report Assurance, Nilai Perusahaan</w:t>
            </w:r>
          </w:p>
        </w:tc>
        <w:tc>
          <w:tcPr>
            <w:tcW w:w="430" w:type="dxa"/>
            <w:vMerge/>
            <w:tcBorders>
              <w:top w:val="single" w:sz="8" w:space="0" w:color="005426"/>
              <w:bottom w:val="single" w:sz="4" w:space="0" w:color="auto"/>
            </w:tcBorders>
          </w:tcPr>
          <w:p w14:paraId="0B5EFE81" w14:textId="77777777" w:rsidR="00092A4B" w:rsidRDefault="00092A4B" w:rsidP="00B82E85">
            <w:pPr>
              <w:pBdr>
                <w:top w:val="nil"/>
                <w:left w:val="nil"/>
                <w:bottom w:val="nil"/>
                <w:right w:val="nil"/>
                <w:between w:val="nil"/>
              </w:pBdr>
              <w:rPr>
                <w:rFonts w:ascii="Times New Roman" w:eastAsia="Times New Roman" w:hAnsi="Times New Roman" w:cs="Times New Roman"/>
                <w:b/>
                <w:bCs/>
              </w:rPr>
            </w:pPr>
          </w:p>
        </w:tc>
        <w:tc>
          <w:tcPr>
            <w:tcW w:w="5915" w:type="dxa"/>
            <w:vMerge/>
            <w:tcBorders>
              <w:top w:val="single" w:sz="8" w:space="0" w:color="005426"/>
              <w:bottom w:val="single" w:sz="4" w:space="0" w:color="auto"/>
            </w:tcBorders>
          </w:tcPr>
          <w:p w14:paraId="5656408D" w14:textId="77777777" w:rsidR="00092A4B" w:rsidRDefault="00092A4B" w:rsidP="00B82E85">
            <w:pPr>
              <w:pBdr>
                <w:top w:val="nil"/>
                <w:left w:val="nil"/>
                <w:bottom w:val="nil"/>
                <w:right w:val="nil"/>
                <w:between w:val="nil"/>
              </w:pBdr>
              <w:rPr>
                <w:rFonts w:ascii="Times New Roman" w:eastAsia="Times New Roman" w:hAnsi="Times New Roman" w:cs="Times New Roman"/>
                <w:b/>
                <w:bCs/>
              </w:rPr>
            </w:pPr>
          </w:p>
        </w:tc>
      </w:tr>
    </w:tbl>
    <w:p w14:paraId="3ABB2E4D" w14:textId="77777777" w:rsidR="00092A4B" w:rsidRDefault="00092A4B" w:rsidP="00B82E85">
      <w:pPr>
        <w:jc w:val="both"/>
        <w:rPr>
          <w:rFonts w:ascii="Times New Roman" w:eastAsia="Times New Roman" w:hAnsi="Times New Roman" w:cs="Times New Roman"/>
          <w:b/>
          <w:bCs/>
        </w:rPr>
      </w:pPr>
    </w:p>
    <w:p w14:paraId="39EC15FE" w14:textId="77777777" w:rsidR="00092A4B" w:rsidRDefault="001B2295" w:rsidP="00B82E85">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PENDAHULUAN</w:t>
      </w:r>
    </w:p>
    <w:p w14:paraId="796C48C2" w14:textId="4F769277"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 xml:space="preserve">Nilai perusahaan mencerminkan pandangan pasar tentang hasil kerja, kemungkinan masa depan, serta tingkat risiko dari suatu perusahaan. Dalam konteks perusahaan yang </w:t>
      </w:r>
      <w:r>
        <w:rPr>
          <w:rFonts w:ascii="Times New Roman" w:eastAsia="Times New Roman" w:hAnsi="Times New Roman" w:cs="Times New Roman"/>
        </w:rPr>
        <w:t xml:space="preserve">diperdagangkan di pasar, nilai perusahaan biasanya terlihat dari indikator pasar seperti Price to Book Value (PBV) atau rasio harga saham lainnya. </w:t>
      </w:r>
      <w:sdt>
        <w:sdtPr>
          <w:rPr>
            <w:rFonts w:ascii="Times New Roman" w:eastAsia="Times New Roman" w:hAnsi="Times New Roman" w:cs="Times New Roman"/>
            <w:color w:val="000000"/>
          </w:rPr>
          <w:tag w:val="MENDELEY_CITATION_v3_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"/>
          <w:id w:val="-221066766"/>
          <w:placeholder>
            <w:docPart w:val="DefaultPlaceholder_-1854013440"/>
          </w:placeholder>
        </w:sdtPr>
        <w:sdtEndPr/>
        <w:sdtContent>
          <w:r w:rsidR="00867FB8" w:rsidRPr="00867FB8">
            <w:rPr>
              <w:rFonts w:ascii="Times New Roman" w:eastAsia="Times New Roman" w:hAnsi="Times New Roman" w:cs="Times New Roman"/>
              <w:color w:val="000000"/>
            </w:rPr>
            <w:t>Bustani et al., (2021)</w:t>
          </w:r>
        </w:sdtContent>
      </w:sdt>
      <w:r w:rsidR="00867FB8">
        <w:rPr>
          <w:rFonts w:ascii="Times New Roman" w:eastAsia="Times New Roman" w:hAnsi="Times New Roman" w:cs="Times New Roman"/>
          <w:color w:val="000000"/>
        </w:rPr>
        <w:t xml:space="preserve"> </w:t>
      </w:r>
      <w:r>
        <w:rPr>
          <w:rFonts w:ascii="Times New Roman" w:eastAsia="Times New Roman" w:hAnsi="Times New Roman" w:cs="Times New Roman"/>
        </w:rPr>
        <w:t>menyatakan bahwa nilai sebuah perusahaan dalam konsep pensinyalan yang ditunjukkan o</w:t>
      </w:r>
      <w:r>
        <w:rPr>
          <w:rFonts w:ascii="Times New Roman" w:eastAsia="Times New Roman" w:hAnsi="Times New Roman" w:cs="Times New Roman"/>
        </w:rPr>
        <w:t>leh rasio harga terhadap nilai buku (PBV) memiliki peranan yang krusial dalam menyediakan informasi yang disampaikan oleh perusahaan kepada pihak luar, sehingga sinyal tersebut mengindikasikan bahwa perusahaan mengelola dirinya dengan transparan. Perusahaa</w:t>
      </w:r>
      <w:r>
        <w:rPr>
          <w:rFonts w:ascii="Times New Roman" w:eastAsia="Times New Roman" w:hAnsi="Times New Roman" w:cs="Times New Roman"/>
        </w:rPr>
        <w:t xml:space="preserve">n yang memiliki nilai tinggi akan menarik minat calon investor untuk </w:t>
      </w:r>
      <w:r>
        <w:rPr>
          <w:rFonts w:ascii="Times New Roman" w:eastAsia="Times New Roman" w:hAnsi="Times New Roman" w:cs="Times New Roman"/>
        </w:rPr>
        <w:lastRenderedPageBreak/>
        <w:t>menanamkan modal di dalamnya dengan ekspektasi untuk meraih keuntungan. Ketika jumlah uang yang diinvestasikan oleh para investor meningkat, maka akan mendongkrak nilai saham perusahaan i</w:t>
      </w:r>
      <w:r>
        <w:rPr>
          <w:rFonts w:ascii="Times New Roman" w:eastAsia="Times New Roman" w:hAnsi="Times New Roman" w:cs="Times New Roman"/>
        </w:rPr>
        <w:t xml:space="preserve">tu </w:t>
      </w:r>
      <w:sdt>
        <w:sdtPr>
          <w:rPr>
            <w:rFonts w:ascii="Times New Roman" w:eastAsia="Times New Roman" w:hAnsi="Times New Roman" w:cs="Times New Roman"/>
            <w:color w:val="000000"/>
          </w:rPr>
          <w:tag w:val="MENDELEY_CITATION_v3_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"/>
          <w:id w:val="1239979496"/>
          <w:placeholder>
            <w:docPart w:val="DefaultPlaceholder_-1854013440"/>
          </w:placeholder>
        </w:sdtPr>
        <w:sdtEndPr/>
        <w:sdtContent>
          <w:r w:rsidR="00867FB8" w:rsidRPr="00867FB8">
            <w:rPr>
              <w:rFonts w:ascii="Times New Roman" w:eastAsia="Times New Roman" w:hAnsi="Times New Roman" w:cs="Times New Roman"/>
              <w:color w:val="000000"/>
            </w:rPr>
            <w:t>(Ana &amp; Wibowo, 2025)</w:t>
          </w:r>
        </w:sdtContent>
      </w:sdt>
      <w:r>
        <w:rPr>
          <w:rFonts w:ascii="Times New Roman" w:eastAsia="Times New Roman" w:hAnsi="Times New Roman" w:cs="Times New Roman"/>
        </w:rPr>
        <w:t>. Perusahaan yang masuk dalam indeks IDX30 di Bursa Efek Indonesia memiliki nilai yang lebih penting karena indeks ini mencakup saham-saham yang memiliki nilai kapitalisasi besar serta tingkat likuiditas yang tinggi. Dengan karakte</w:t>
      </w:r>
      <w:r>
        <w:rPr>
          <w:rFonts w:ascii="Times New Roman" w:eastAsia="Times New Roman" w:hAnsi="Times New Roman" w:cs="Times New Roman"/>
        </w:rPr>
        <w:t>ristik tersebut, IDX30 menjadi acuan bagi kepercayaan investor terhadap situasi pasar modal Indonesia.</w:t>
      </w:r>
    </w:p>
    <w:p w14:paraId="386D29C4" w14:textId="1330FAA2"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Periode 2022 hingga 2024 ditunjukkan oleh perubahan ekonomi yang rumit, termasuk proses pemulihan ekonomi setelah pandemi, tekanan inflasi di tingkat gl</w:t>
      </w:r>
      <w:r>
        <w:rPr>
          <w:rFonts w:ascii="Times New Roman" w:eastAsia="Times New Roman" w:hAnsi="Times New Roman" w:cs="Times New Roman"/>
        </w:rPr>
        <w:t xml:space="preserve">obal, fluktuasi tingkat bunga, serta peningkatan permintaan akan transparansi dan praktik berkelanjutan. Dalam situasi ini, investor tidak hanya mengacu pada indikator keuangan saja, tetapi juga memperhatikan kualitas tata kelola perusahaan serta komitmen </w:t>
      </w:r>
      <w:r>
        <w:rPr>
          <w:rFonts w:ascii="Times New Roman" w:eastAsia="Times New Roman" w:hAnsi="Times New Roman" w:cs="Times New Roman"/>
        </w:rPr>
        <w:t xml:space="preserve">terhadap isu keberlanjutan. </w:t>
      </w:r>
      <w:sdt>
        <w:sdtPr>
          <w:rPr>
            <w:rFonts w:ascii="Times New Roman" w:eastAsia="Times New Roman" w:hAnsi="Times New Roman" w:cs="Times New Roman"/>
            <w:color w:val="000000"/>
          </w:rPr>
          <w:tag w:val="MENDELEY_CITATION_v3_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"/>
          <w:id w:val="557514486"/>
          <w:placeholder>
            <w:docPart w:val="DefaultPlaceholder_-1854013440"/>
          </w:placeholder>
        </w:sdtPr>
        <w:sdtEndPr/>
        <w:sdtContent>
          <w:r w:rsidR="00867FB8" w:rsidRPr="00867FB8">
            <w:rPr>
              <w:rFonts w:ascii="Times New Roman" w:eastAsia="Times New Roman" w:hAnsi="Times New Roman" w:cs="Times New Roman"/>
              <w:color w:val="000000"/>
            </w:rPr>
            <w:t>Hidayati, (2026)</w:t>
          </w:r>
        </w:sdtContent>
      </w:sdt>
      <w:r>
        <w:rPr>
          <w:rFonts w:ascii="Times New Roman" w:eastAsia="Times New Roman" w:hAnsi="Times New Roman" w:cs="Times New Roman"/>
        </w:rPr>
        <w:t xml:space="preserve"> menyatakan jika nilai sebuah perusahaan saat ini tidak hanya ditentukan oleh hasil finansial yang dicapai, namun telah mengalami perubahan yang memperhatikan aspek-aspek non finansial.</w:t>
      </w:r>
    </w:p>
    <w:p w14:paraId="3B0EAF92" w14:textId="4B90D5DE"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Salah satu mekanisme pe</w:t>
      </w:r>
      <w:r>
        <w:rPr>
          <w:rFonts w:ascii="Times New Roman" w:eastAsia="Times New Roman" w:hAnsi="Times New Roman" w:cs="Times New Roman"/>
        </w:rPr>
        <w:t>ngelolaan yang memiliki peran penting adalah komite audit. Komite audit memiliki tugas untuk memantau proses pelaporan keuangan, keefektifan pengendalian internal, pengelolaan risiko, serta komunikasi dengan auditor dari luar perusahaan. Dari sudut pandang</w:t>
      </w:r>
      <w:r>
        <w:rPr>
          <w:rFonts w:ascii="Times New Roman" w:eastAsia="Times New Roman" w:hAnsi="Times New Roman" w:cs="Times New Roman"/>
        </w:rPr>
        <w:t xml:space="preserve"> teori agensi, kehadiran dan tindakan komite audit berperan sebagai alat pengawasan yang bertujuan mengurangi konflik kepentingan antara manajemen dan pemegang saham. Dengan demikian, kehadiran komite audit diharapkan mampu mengurangi ketidakseimbangan inf</w:t>
      </w:r>
      <w:r>
        <w:rPr>
          <w:rFonts w:ascii="Times New Roman" w:eastAsia="Times New Roman" w:hAnsi="Times New Roman" w:cs="Times New Roman"/>
        </w:rPr>
        <w:t xml:space="preserve">ormasi yang terdapat antara pemilik dan pengguna aset </w:t>
      </w:r>
      <w:sdt>
        <w:sdtPr>
          <w:rPr>
            <w:rFonts w:ascii="Times New Roman" w:eastAsia="Times New Roman" w:hAnsi="Times New Roman" w:cs="Times New Roman"/>
            <w:color w:val="000000"/>
          </w:rPr>
          <w:tag w:val="MENDELEY_CITATION_v3_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"/>
          <w:id w:val="1429626738"/>
          <w:placeholder>
            <w:docPart w:val="DefaultPlaceholder_-1854013440"/>
          </w:placeholder>
        </w:sdtPr>
        <w:sdtEndPr/>
        <w:sdtContent>
          <w:r w:rsidR="00867FB8" w:rsidRPr="00867FB8">
            <w:rPr>
              <w:rFonts w:ascii="Times New Roman" w:eastAsia="Times New Roman" w:hAnsi="Times New Roman" w:cs="Times New Roman"/>
              <w:color w:val="000000"/>
            </w:rPr>
            <w:t>(Setyawati &amp; Bernawati, 2020)</w:t>
          </w:r>
        </w:sdtContent>
      </w:sdt>
      <w:r>
        <w:rPr>
          <w:rFonts w:ascii="Times New Roman" w:eastAsia="Times New Roman" w:hAnsi="Times New Roman" w:cs="Times New Roman"/>
        </w:rPr>
        <w:t>. Frekuensi pertemuan komite audit sering digunakan sebagai indikator tingkat pengawasan yang dilakukan. Secara konseptual, semakin tinggi frekuensi rapat, semakin besar k</w:t>
      </w:r>
      <w:r>
        <w:rPr>
          <w:rFonts w:ascii="Times New Roman" w:eastAsia="Times New Roman" w:hAnsi="Times New Roman" w:cs="Times New Roman"/>
        </w:rPr>
        <w:t xml:space="preserve">emungkinan dilakukan evaluasi dan pengawasan yang efektif, sehingga dapat meningkatkan kualitas laporan keuangan dan mengurangi kesenjangan informasi. </w:t>
      </w:r>
      <w:sdt>
        <w:sdtPr>
          <w:rPr>
            <w:rFonts w:ascii="Times New Roman" w:eastAsia="Times New Roman" w:hAnsi="Times New Roman" w:cs="Times New Roman"/>
            <w:color w:val="000000"/>
          </w:rPr>
          <w:tag w:val="MENDELEY_CITATION_v3_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"/>
          <w:id w:val="1768733477"/>
          <w:placeholder>
            <w:docPart w:val="DefaultPlaceholder_-1854013440"/>
          </w:placeholder>
        </w:sdtPr>
        <w:sdtEndPr/>
        <w:sdtContent>
          <w:r w:rsidR="00867FB8" w:rsidRPr="00867FB8">
            <w:rPr>
              <w:rFonts w:ascii="Times New Roman" w:eastAsia="Times New Roman" w:hAnsi="Times New Roman" w:cs="Times New Roman"/>
              <w:color w:val="000000"/>
            </w:rPr>
            <w:t>Najah &amp; Mukhibad, (2022)</w:t>
          </w:r>
        </w:sdtContent>
      </w:sdt>
      <w:r>
        <w:rPr>
          <w:rFonts w:ascii="Times New Roman" w:eastAsia="Times New Roman" w:hAnsi="Times New Roman" w:cs="Times New Roman"/>
        </w:rPr>
        <w:t xml:space="preserve"> menemukan bahwa salah satu faktor yang diperkirakan bisa berpengaruh terhadap </w:t>
      </w:r>
      <w:r>
        <w:rPr>
          <w:rFonts w:ascii="Times New Roman" w:eastAsia="Times New Roman" w:hAnsi="Times New Roman" w:cs="Times New Roman"/>
        </w:rPr>
        <w:t>sejauh mana akuntabilitas diungkapkan adalah seberapa sering rapat komite audit dilakukan. Kondisi tersebut diharapkan pada akhirnya dapat meningkatkan nilai perusahaan.</w:t>
      </w:r>
    </w:p>
    <w:p w14:paraId="66BD8FEA" w14:textId="228F3A07"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Namun, efektivitas komite audit tidak hanya bergantung pada jumlah pertemuan yang dia</w:t>
      </w:r>
      <w:r>
        <w:rPr>
          <w:rFonts w:ascii="Times New Roman" w:eastAsia="Times New Roman" w:hAnsi="Times New Roman" w:cs="Times New Roman"/>
        </w:rPr>
        <w:t xml:space="preserve">dakan. Frekuensi pertemuan yang sering tidak selalu menunjukkan kualitas diskusi dan proses pengambilan keputusan yang maksimal </w:t>
      </w:r>
      <w:sdt>
        <w:sdtPr>
          <w:rPr>
            <w:rFonts w:ascii="Times New Roman" w:eastAsia="Times New Roman" w:hAnsi="Times New Roman" w:cs="Times New Roman"/>
            <w:color w:val="000000"/>
          </w:rPr>
          <w:tag w:val="MENDELEY_CITATION_v3_eyJjaXRhdGlvbklEIjoiTUVOREVMRVlfQ0lUQVRJT05fMDQzNmE5NTEtZTE4OC00ZTU5LTk1ZmMtZjViYzhhNDZiMmJj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
          <w:id w:val="-726910366"/>
          <w:placeholder>
            <w:docPart w:val="DefaultPlaceholder_-1854013440"/>
          </w:placeholder>
        </w:sdtPr>
        <w:sdtEndPr/>
        <w:sdtContent>
          <w:r w:rsidR="00867FB8" w:rsidRPr="00867FB8">
            <w:rPr>
              <w:rFonts w:ascii="Times New Roman" w:eastAsia="Times New Roman" w:hAnsi="Times New Roman" w:cs="Times New Roman"/>
              <w:color w:val="000000"/>
            </w:rPr>
            <w:t>(Rosalina, 2025)</w:t>
          </w:r>
        </w:sdtContent>
      </w:sdt>
      <w:r>
        <w:rPr>
          <w:rFonts w:ascii="Times New Roman" w:eastAsia="Times New Roman" w:hAnsi="Times New Roman" w:cs="Times New Roman"/>
        </w:rPr>
        <w:t>. Penelitian ini menunjukkan bahwa frekuensi rapat yang tinggi dapat menyebabkan keletihan dan mengurangi foku</w:t>
      </w:r>
      <w:r>
        <w:rPr>
          <w:rFonts w:ascii="Times New Roman" w:eastAsia="Times New Roman" w:hAnsi="Times New Roman" w:cs="Times New Roman"/>
        </w:rPr>
        <w:t>s pada hal-hal yang krusial, yang pada akhirnya dapat mengakibatkan penurunan efektivitas dalam pengawasan. Dalam perusahaan yang memiliki sistem pengendalian internal yang sudah matang seperti anggota IDX30, penambahan frekuensi rapat cenderung bersifat a</w:t>
      </w:r>
      <w:r>
        <w:rPr>
          <w:rFonts w:ascii="Times New Roman" w:eastAsia="Times New Roman" w:hAnsi="Times New Roman" w:cs="Times New Roman"/>
        </w:rPr>
        <w:t>dministratif dan tidak memberikan indikasi tambahan yang berarti bagi pasar. Oleh karena itu, dampak frekuensi komite audit terhadap nilai perusahaan masih memerlukan penelitian empiris lebih lanjut.</w:t>
      </w:r>
    </w:p>
    <w:p w14:paraId="6A5455FD" w14:textId="1AC91497"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 xml:space="preserve">Selain faktor pengelolaan, minat terhadap pelaporan </w:t>
      </w:r>
      <w:r>
        <w:rPr>
          <w:rFonts w:ascii="Times New Roman" w:eastAsia="Times New Roman" w:hAnsi="Times New Roman" w:cs="Times New Roman"/>
        </w:rPr>
        <w:t xml:space="preserve">tentang keberlanjutan juga meningkat secara nyata. Laporan berkelanjutan berfungsi sebagai alat akuntabilitas perusahaan untuk memperlihatkan pencapaian dalam aspek ekonomi, sosial, dan lingkungan. </w:t>
      </w:r>
      <w:sdt>
        <w:sdtPr>
          <w:rPr>
            <w:rFonts w:ascii="Times New Roman" w:eastAsia="Times New Roman" w:hAnsi="Times New Roman" w:cs="Times New Roman"/>
            <w:color w:val="000000"/>
          </w:rPr>
          <w:tag w:val="MENDELEY_CITATION_v3_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"/>
          <w:id w:val="-478840979"/>
          <w:placeholder>
            <w:docPart w:val="DefaultPlaceholder_-1854013440"/>
          </w:placeholder>
        </w:sdtPr>
        <w:sdtEndPr/>
        <w:sdtContent>
          <w:r w:rsidR="00867FB8" w:rsidRPr="00867FB8">
            <w:rPr>
              <w:rFonts w:ascii="Times New Roman" w:eastAsia="Times New Roman" w:hAnsi="Times New Roman" w:cs="Times New Roman"/>
              <w:color w:val="000000"/>
            </w:rPr>
            <w:t>Septriana et al., (2023)</w:t>
          </w:r>
        </w:sdtContent>
      </w:sdt>
      <w:r>
        <w:rPr>
          <w:rFonts w:ascii="Times New Roman" w:eastAsia="Times New Roman" w:hAnsi="Times New Roman" w:cs="Times New Roman"/>
        </w:rPr>
        <w:t xml:space="preserve"> mengungkapkan, strategi ramah l</w:t>
      </w:r>
      <w:r>
        <w:rPr>
          <w:rFonts w:ascii="Times New Roman" w:eastAsia="Times New Roman" w:hAnsi="Times New Roman" w:cs="Times New Roman"/>
        </w:rPr>
        <w:t>ingkungan memiliki dampak yang positif dan signifikan terhadap nilai perusahaan, sehingga ketika performa terkait lingkungan semakin baik, maka akan memberikan pengaruh positif pada peningkatan nilai perusahaan. Hal ini disebabkan oleh reaksi pasar yang ce</w:t>
      </w:r>
      <w:r>
        <w:rPr>
          <w:rFonts w:ascii="Times New Roman" w:eastAsia="Times New Roman" w:hAnsi="Times New Roman" w:cs="Times New Roman"/>
        </w:rPr>
        <w:t>nderung mempertimbangkan aspek kinerja lingkungan sebagai salah satu parameter dalam mengevaluasi perusahaan, mengingat relevansinya dengan keberlanjutan operasional perusahaan. Dengan demikian, semakin baik kinerja lingkungan suatu perusahaan, semakin tin</w:t>
      </w:r>
      <w:r>
        <w:rPr>
          <w:rFonts w:ascii="Times New Roman" w:eastAsia="Times New Roman" w:hAnsi="Times New Roman" w:cs="Times New Roman"/>
        </w:rPr>
        <w:t xml:space="preserve">ggi pula nilai perusahaan tersebut. Banyak perusahaan menggunakan standar yang dibuat oleh Global Reporting Initiative (GRI) untuk memperbaiki mutu dan mempermudah perbandingan laporan </w:t>
      </w:r>
      <w:r>
        <w:rPr>
          <w:rFonts w:ascii="Times New Roman" w:eastAsia="Times New Roman" w:hAnsi="Times New Roman" w:cs="Times New Roman"/>
        </w:rPr>
        <w:lastRenderedPageBreak/>
        <w:t>mereka. Di masa yang akan dating, tidak hanya laporan keuangan yang dib</w:t>
      </w:r>
      <w:r>
        <w:rPr>
          <w:rFonts w:ascii="Times New Roman" w:eastAsia="Times New Roman" w:hAnsi="Times New Roman" w:cs="Times New Roman"/>
        </w:rPr>
        <w:t>utuhkan para pemangku kepentingan sebagai bentuk tanggung jawab perusahaan, namun juga laporan tentang dampak lingkungan dan social perusahaan di masyarakat. Dalam perkembangannya, beberapa perusahaan tidak hanya membuat laporan keberlanjutan, namun juga m</w:t>
      </w:r>
      <w:r>
        <w:rPr>
          <w:rFonts w:ascii="Times New Roman" w:eastAsia="Times New Roman" w:hAnsi="Times New Roman" w:cs="Times New Roman"/>
        </w:rPr>
        <w:t>emakai jasa penjaminan independen agar informasi yang disampaikan lebih dapat dipercaya.</w:t>
      </w:r>
    </w:p>
    <w:p w14:paraId="326CA9ED" w14:textId="05EBAE68"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Laporan keberlanjutan yang diverifikasi dianggap sebagai mekanisme untuk meningkatkan keandalan informasi non-keuangan. Akuntan memainkan peran penting dalam memastik</w:t>
      </w:r>
      <w:r>
        <w:rPr>
          <w:rFonts w:ascii="Times New Roman" w:eastAsia="Times New Roman" w:hAnsi="Times New Roman" w:cs="Times New Roman"/>
        </w:rPr>
        <w:t xml:space="preserve">an validitas dan ketepatan informasi terkait keberlanjutan dengan melakukan audit dan jaminan terhadap laporan yang tidak bersifat keuangan </w:t>
      </w:r>
      <w:sdt>
        <w:sdtPr>
          <w:rPr>
            <w:rFonts w:ascii="Times New Roman" w:eastAsia="Times New Roman" w:hAnsi="Times New Roman" w:cs="Times New Roman"/>
            <w:color w:val="000000"/>
          </w:rPr>
          <w:tag w:val="MENDELEY_CITATION_v3_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"/>
          <w:id w:val="257406883"/>
          <w:placeholder>
            <w:docPart w:val="DefaultPlaceholder_-1854013440"/>
          </w:placeholder>
        </w:sdtPr>
        <w:sdtEndPr/>
        <w:sdtContent>
          <w:r w:rsidR="00867FB8" w:rsidRPr="00867FB8">
            <w:rPr>
              <w:rFonts w:ascii="Times New Roman" w:eastAsia="Times New Roman" w:hAnsi="Times New Roman" w:cs="Times New Roman"/>
              <w:color w:val="000000"/>
            </w:rPr>
            <w:t>(Astuti et al., 2025)</w:t>
          </w:r>
        </w:sdtContent>
      </w:sdt>
      <w:r>
        <w:rPr>
          <w:rFonts w:ascii="Times New Roman" w:eastAsia="Times New Roman" w:hAnsi="Times New Roman" w:cs="Times New Roman"/>
        </w:rPr>
        <w:t>. Dari sudut pandang teori signaling, pemberian penjelasan atau jaminan dapat dianggap sebaga</w:t>
      </w:r>
      <w:r>
        <w:rPr>
          <w:rFonts w:ascii="Times New Roman" w:eastAsia="Times New Roman" w:hAnsi="Times New Roman" w:cs="Times New Roman"/>
        </w:rPr>
        <w:t>i tanda yang menggembirakan bagi investor, menunjukkan bahwa perusahaan memiliki komitmen kuat terhadap transparansi dan tanggung jawab. Kredibilitas yang meningkat diharapkan dapat memperkuat reputasi perusahaan, mengurangi risiko yang muncul dari perseps</w:t>
      </w:r>
      <w:r>
        <w:rPr>
          <w:rFonts w:ascii="Times New Roman" w:eastAsia="Times New Roman" w:hAnsi="Times New Roman" w:cs="Times New Roman"/>
        </w:rPr>
        <w:t>i negatif, serta pada akhirnya meningkatkan nilai perusahaan secara keseluruhan.</w:t>
      </w:r>
    </w:p>
    <w:p w14:paraId="119A97DF" w14:textId="51CA61E8"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 xml:space="preserve">Namun, praktik pemeriksaan terhadap laporan keberlanjutan di Indonesia masih tergolong terbatas dan belum menjadi kewajiban. </w:t>
      </w:r>
      <w:sdt>
        <w:sdtPr>
          <w:rPr>
            <w:rFonts w:ascii="Times New Roman" w:eastAsia="Times New Roman" w:hAnsi="Times New Roman" w:cs="Times New Roman"/>
            <w:color w:val="000000"/>
          </w:rPr>
          <w:tag w:val="MENDELEY_CITATION_v3_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"/>
          <w:id w:val="-209271476"/>
          <w:placeholder>
            <w:docPart w:val="DefaultPlaceholder_-1854013440"/>
          </w:placeholder>
        </w:sdtPr>
        <w:sdtEndPr/>
        <w:sdtContent>
          <w:r w:rsidR="00867FB8" w:rsidRPr="00867FB8">
            <w:rPr>
              <w:rFonts w:ascii="Times New Roman" w:eastAsia="Times New Roman" w:hAnsi="Times New Roman" w:cs="Times New Roman"/>
              <w:color w:val="000000"/>
            </w:rPr>
            <w:t>Putra &amp; Sisdianto, (2024)</w:t>
          </w:r>
        </w:sdtContent>
      </w:sdt>
      <w:r>
        <w:rPr>
          <w:rFonts w:ascii="Times New Roman" w:eastAsia="Times New Roman" w:hAnsi="Times New Roman" w:cs="Times New Roman"/>
        </w:rPr>
        <w:t xml:space="preserve"> menyatakan bahwa pema</w:t>
      </w:r>
      <w:r>
        <w:rPr>
          <w:rFonts w:ascii="Times New Roman" w:eastAsia="Times New Roman" w:hAnsi="Times New Roman" w:cs="Times New Roman"/>
        </w:rPr>
        <w:t>haman perusahaan-perusahaan di Indonesia tentang signifikansi akuntansi lingkungan masih cukup minim. Tidak semua investor menganggap informasi keberlanjutan sebagai faktor utama dalam mengambil keputusan berinvestasi, terutama di tengah situasi pasar yang</w:t>
      </w:r>
      <w:r>
        <w:rPr>
          <w:rFonts w:ascii="Times New Roman" w:eastAsia="Times New Roman" w:hAnsi="Times New Roman" w:cs="Times New Roman"/>
        </w:rPr>
        <w:t xml:space="preserve"> masih fokus pada kinerja finansial jangka pendek. Karena itu, efektivitas laporan keberlanjutan yang diverifikasi dalam memengaruhi nilai perusahaan masih menjadi topik perdebatan berdasarkan bukti empiris.</w:t>
      </w:r>
    </w:p>
    <w:p w14:paraId="6F5E2B85" w14:textId="107E1D8D"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Beberapa penelitian sebelumnya menunjukkan bahw</w:t>
      </w:r>
      <w:r>
        <w:rPr>
          <w:rFonts w:ascii="Times New Roman" w:eastAsia="Times New Roman" w:hAnsi="Times New Roman" w:cs="Times New Roman"/>
        </w:rPr>
        <w:t xml:space="preserve">a mekanisme tata kelola perusahaan serta transparansi informasi keberlanjutan dapat memengaruhi nilai perusahaan. Penelitian yang dilakukan oleh </w:t>
      </w:r>
      <w:sdt>
        <w:sdtPr>
          <w:rPr>
            <w:rFonts w:ascii="Times New Roman" w:eastAsia="Times New Roman" w:hAnsi="Times New Roman" w:cs="Times New Roman"/>
            <w:color w:val="000000"/>
          </w:rPr>
          <w:tag w:val="MENDELEY_CITATION_v3_eyJjaXRhdGlvbklEIjoiTUVOREVMRVlfQ0lUQVRJT05fYjhiZTY0ZmYtNzBjZC00MmUwLThkNjAtNDQwMDU1YWZhZGM5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
          <w:id w:val="97836915"/>
          <w:placeholder>
            <w:docPart w:val="DefaultPlaceholder_-1854013440"/>
          </w:placeholder>
        </w:sdtPr>
        <w:sdtEndPr/>
        <w:sdtContent>
          <w:r w:rsidR="00867FB8" w:rsidRPr="00867FB8">
            <w:rPr>
              <w:rFonts w:ascii="Times New Roman" w:eastAsia="Times New Roman" w:hAnsi="Times New Roman" w:cs="Times New Roman"/>
              <w:color w:val="000000"/>
            </w:rPr>
            <w:t>Sìmnett et al., (2009)</w:t>
          </w:r>
        </w:sdtContent>
      </w:sdt>
      <w:r>
        <w:rPr>
          <w:rFonts w:ascii="Times New Roman" w:eastAsia="Times New Roman" w:hAnsi="Times New Roman" w:cs="Times New Roman"/>
        </w:rPr>
        <w:t xml:space="preserve"> menunjukkan bahwa perusahaan yang menggunakan assurance terhadap sustainability report</w:t>
      </w:r>
      <w:r>
        <w:rPr>
          <w:rFonts w:ascii="Times New Roman" w:eastAsia="Times New Roman" w:hAnsi="Times New Roman" w:cs="Times New Roman"/>
        </w:rPr>
        <w:t xml:space="preserve"> memiliki tingkat kredibilitas informasi yang lebih tinggi sehingga dapat meningkatkan kepercayaan investor. Selain itu, penelitian </w:t>
      </w:r>
      <w:sdt>
        <w:sdtPr>
          <w:rPr>
            <w:rFonts w:ascii="Times New Roman" w:eastAsia="Times New Roman" w:hAnsi="Times New Roman" w:cs="Times New Roman"/>
            <w:color w:val="000000"/>
          </w:rPr>
          <w:tag w:val="MENDELEY_CITATION_v3_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"/>
          <w:id w:val="437949755"/>
          <w:placeholder>
            <w:docPart w:val="DefaultPlaceholder_-1854013440"/>
          </w:placeholder>
        </w:sdtPr>
        <w:sdtEndPr/>
        <w:sdtContent>
          <w:r w:rsidR="00867FB8" w:rsidRPr="00867FB8">
            <w:rPr>
              <w:rFonts w:ascii="Times New Roman" w:eastAsia="Times New Roman" w:hAnsi="Times New Roman" w:cs="Times New Roman"/>
              <w:color w:val="000000"/>
            </w:rPr>
            <w:t>Kolk &amp; Perego, (2010)</w:t>
          </w:r>
        </w:sdtContent>
      </w:sdt>
      <w:r>
        <w:rPr>
          <w:rFonts w:ascii="Times New Roman" w:eastAsia="Times New Roman" w:hAnsi="Times New Roman" w:cs="Times New Roman"/>
        </w:rPr>
        <w:t xml:space="preserve"> juga menemukan bahwa assurance pada laporan keberlanjutan dapat meningkatkan transparansi perusahaan</w:t>
      </w:r>
      <w:r>
        <w:rPr>
          <w:rFonts w:ascii="Times New Roman" w:eastAsia="Times New Roman" w:hAnsi="Times New Roman" w:cs="Times New Roman"/>
        </w:rPr>
        <w:t xml:space="preserve"> dan memberikan sinyal positif kepada pasar. Dari sisi tata kelola perusahaan, penelitian. Aktivitas komite audit, termasuk frekuensi pertemuan komite audit, berperan dalam meningkatkan kualitas pengawasan terhadap proses pelaporan keuangan sehingga dapat </w:t>
      </w:r>
      <w:r>
        <w:rPr>
          <w:rFonts w:ascii="Times New Roman" w:eastAsia="Times New Roman" w:hAnsi="Times New Roman" w:cs="Times New Roman"/>
        </w:rPr>
        <w:t>berdampak pada peningkatan nilai perusahaan.</w:t>
      </w:r>
    </w:p>
    <w:p w14:paraId="6422C42F" w14:textId="2FEE3CF6"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Penelitian terdahulu menunjukkan hasil yang tidak konsisten. Beberapa penelitian menunjukkan bahwa frekuensi pertemuan komite audit memiliki dampak positif terhadap nilai perusahaan, karena mampu meningkatkan k</w:t>
      </w:r>
      <w:r>
        <w:rPr>
          <w:rFonts w:ascii="Times New Roman" w:eastAsia="Times New Roman" w:hAnsi="Times New Roman" w:cs="Times New Roman"/>
        </w:rPr>
        <w:t xml:space="preserve">ualitas pengawasan yang dilakukan. Penelitian lainnya menunjukkan bahwa frekuensi rapat tidak berdampak secara signifikan, karena pasar lebih memperhatikan isi dari pertemuan tersebut dibandingkan seberapa sering pertemuan dilakukan. Konsistensi yang sama </w:t>
      </w:r>
      <w:r>
        <w:rPr>
          <w:rFonts w:ascii="Times New Roman" w:eastAsia="Times New Roman" w:hAnsi="Times New Roman" w:cs="Times New Roman"/>
        </w:rPr>
        <w:t xml:space="preserve">terjadi pada variabel jaminan laporan keberlanjutan, di mana beberapa penelitian menunjukkan dampak positif terhadap nilai perusahaan, sedangkan penelitian lainnya tidak menemukan hubungan yang bermakna. </w:t>
      </w:r>
      <w:sdt>
        <w:sdtPr>
          <w:rPr>
            <w:rFonts w:ascii="Times New Roman" w:eastAsia="Times New Roman" w:hAnsi="Times New Roman" w:cs="Times New Roman"/>
            <w:color w:val="000000"/>
          </w:rPr>
          <w:tag w:val="MENDELEY_CITATION_v3_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"/>
          <w:id w:val="-551620142"/>
          <w:placeholder>
            <w:docPart w:val="DefaultPlaceholder_-1854013440"/>
          </w:placeholder>
        </w:sdtPr>
        <w:sdtEndPr/>
        <w:sdtContent>
          <w:r w:rsidR="00867FB8" w:rsidRPr="00867FB8">
            <w:rPr>
              <w:rFonts w:ascii="Times New Roman" w:eastAsia="Times New Roman" w:hAnsi="Times New Roman" w:cs="Times New Roman"/>
              <w:color w:val="000000"/>
            </w:rPr>
            <w:t>Sari et al., (2018)</w:t>
          </w:r>
        </w:sdtContent>
      </w:sdt>
      <w:r>
        <w:rPr>
          <w:rFonts w:ascii="Times New Roman" w:eastAsia="Times New Roman" w:hAnsi="Times New Roman" w:cs="Times New Roman"/>
        </w:rPr>
        <w:t xml:space="preserve"> menemukan bahwa variabel komit</w:t>
      </w:r>
      <w:r>
        <w:rPr>
          <w:rFonts w:ascii="Times New Roman" w:eastAsia="Times New Roman" w:hAnsi="Times New Roman" w:cs="Times New Roman"/>
        </w:rPr>
        <w:t>e audit tidak berpengaruh signifikan terhadap nilai perusahaan pada perusahaan yang terdaftar di Bursa Efek Indonesia.</w:t>
      </w:r>
    </w:p>
    <w:p w14:paraId="6D9A5FA6" w14:textId="153F9FC4"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 xml:space="preserve">Ketidaksesuaian hasil penelitian tersebut menunjukkan adanya celah dalam penelitian yang perlu diteliti lebih lanjut, khususnya dalam </w:t>
      </w:r>
      <w:r>
        <w:rPr>
          <w:rFonts w:ascii="Times New Roman" w:eastAsia="Times New Roman" w:hAnsi="Times New Roman" w:cs="Times New Roman"/>
        </w:rPr>
        <w:t>konteks perusahaan IDX30 selama periode 2022 hingga 2024. Menurut signaling theory, kapitalisasi pasar juga mengirimkan sinyal yang baik kepada para investor sebab kapitalisasi pasar mencerminkan cara pasar menilai kekuatan, kestabilan, dan potensi perusah</w:t>
      </w:r>
      <w:r>
        <w:rPr>
          <w:rFonts w:ascii="Times New Roman" w:eastAsia="Times New Roman" w:hAnsi="Times New Roman" w:cs="Times New Roman"/>
        </w:rPr>
        <w:t xml:space="preserve">aan, sehingga berfungsi sebagai isyarat langsung kepada investor tentang mutu dan masa depan perusahaan </w:t>
      </w:r>
      <w:sdt>
        <w:sdtPr>
          <w:rPr>
            <w:rFonts w:ascii="Times New Roman" w:eastAsia="Times New Roman" w:hAnsi="Times New Roman" w:cs="Times New Roman"/>
            <w:color w:val="000000"/>
          </w:rPr>
          <w:tag w:val="MENDELEY_CITATION_v3_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"/>
          <w:id w:val="-208568072"/>
          <w:placeholder>
            <w:docPart w:val="DefaultPlaceholder_-1854013440"/>
          </w:placeholder>
        </w:sdtPr>
        <w:sdtEndPr/>
        <w:sdtContent>
          <w:r w:rsidR="00867FB8" w:rsidRPr="00867FB8">
            <w:rPr>
              <w:rFonts w:ascii="Times New Roman" w:eastAsia="Times New Roman" w:hAnsi="Times New Roman" w:cs="Times New Roman"/>
              <w:color w:val="000000"/>
            </w:rPr>
            <w:t>(Lim, 2025)</w:t>
          </w:r>
        </w:sdtContent>
      </w:sdt>
      <w:r>
        <w:rPr>
          <w:rFonts w:ascii="Times New Roman" w:eastAsia="Times New Roman" w:hAnsi="Times New Roman" w:cs="Times New Roman"/>
        </w:rPr>
        <w:t xml:space="preserve">. Perusahaan yang memiliki kapitalisasi pasar besar serta </w:t>
      </w:r>
      <w:r>
        <w:rPr>
          <w:rFonts w:ascii="Times New Roman" w:eastAsia="Times New Roman" w:hAnsi="Times New Roman" w:cs="Times New Roman"/>
        </w:rPr>
        <w:lastRenderedPageBreak/>
        <w:t>tingkat aksesibilitas publik tinggi cenderung menunjukkan reaksi pasar yang berbe</w:t>
      </w:r>
      <w:r>
        <w:rPr>
          <w:rFonts w:ascii="Times New Roman" w:eastAsia="Times New Roman" w:hAnsi="Times New Roman" w:cs="Times New Roman"/>
        </w:rPr>
        <w:t>da dibandingkan perusahaan yang tidak terdapat dalam indeks tersebut. Selain itu, masa penelitian yang meliputi fase peningkatan isu Environmental, Social, and Governance (ESG) menawarkan konteks empiris yang relevan dan sesuai dengan kondisi aktual. Tanta</w:t>
      </w:r>
      <w:r>
        <w:rPr>
          <w:rFonts w:ascii="Times New Roman" w:eastAsia="Times New Roman" w:hAnsi="Times New Roman" w:cs="Times New Roman"/>
        </w:rPr>
        <w:t xml:space="preserve">ngan internasional seperti ketidakpastian dalam ekonomi dan politik, serta isu-isu lingkungan dan sosial, semakin menggarisbawahi kebutuhan untuk mengintegrasikan ESG ke dalam strategi perusahaan </w:t>
      </w:r>
      <w:sdt>
        <w:sdtPr>
          <w:rPr>
            <w:rFonts w:ascii="Times New Roman" w:eastAsia="Times New Roman" w:hAnsi="Times New Roman" w:cs="Times New Roman"/>
            <w:color w:val="000000"/>
          </w:rPr>
          <w:tag w:val="MENDELEY_CITATION_v3_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"/>
          <w:id w:val="1230970069"/>
          <w:placeholder>
            <w:docPart w:val="DefaultPlaceholder_-1854013440"/>
          </w:placeholder>
        </w:sdtPr>
        <w:sdtEndPr/>
        <w:sdtContent>
          <w:r w:rsidR="00867FB8" w:rsidRPr="00867FB8">
            <w:rPr>
              <w:rFonts w:ascii="Times New Roman" w:eastAsia="Times New Roman" w:hAnsi="Times New Roman" w:cs="Times New Roman"/>
              <w:color w:val="000000"/>
            </w:rPr>
            <w:t>(Rohman et al., 2024)</w:t>
          </w:r>
        </w:sdtContent>
      </w:sdt>
      <w:r>
        <w:rPr>
          <w:rFonts w:ascii="Times New Roman" w:eastAsia="Times New Roman" w:hAnsi="Times New Roman" w:cs="Times New Roman"/>
        </w:rPr>
        <w:t xml:space="preserve">. </w:t>
      </w:r>
    </w:p>
    <w:p w14:paraId="565451BF" w14:textId="52F6C0DC" w:rsidR="00092A4B" w:rsidRDefault="001B2295" w:rsidP="00B82E85">
      <w:pPr>
        <w:pBdr>
          <w:top w:val="nil"/>
          <w:left w:val="nil"/>
          <w:bottom w:val="nil"/>
          <w:right w:val="nil"/>
          <w:between w:val="nil"/>
        </w:pBdr>
        <w:tabs>
          <w:tab w:val="left" w:pos="4140"/>
        </w:tabs>
        <w:ind w:firstLine="709"/>
        <w:jc w:val="both"/>
        <w:rPr>
          <w:rFonts w:ascii="Times New Roman" w:eastAsia="Times New Roman" w:hAnsi="Times New Roman" w:cs="Times New Roman"/>
        </w:rPr>
      </w:pPr>
      <w:r>
        <w:rPr>
          <w:rFonts w:ascii="Times New Roman" w:eastAsia="Times New Roman" w:hAnsi="Times New Roman" w:cs="Times New Roman"/>
        </w:rPr>
        <w:t>Berdasarkan latar belakang terseb</w:t>
      </w:r>
      <w:r>
        <w:rPr>
          <w:rFonts w:ascii="Times New Roman" w:eastAsia="Times New Roman" w:hAnsi="Times New Roman" w:cs="Times New Roman"/>
        </w:rPr>
        <w:t>ut, penelitian ini dilakukan untuk mengetahui dan menganalisis pengaruh frekuensi komite audit terhadap nilai perusahaan pada perusahaan IDX30 periode 2022–2024. Selain itu, penelitian ini juga bertujuan untuk menganalisis pengaruh sustainability report as</w:t>
      </w:r>
      <w:r>
        <w:rPr>
          <w:rFonts w:ascii="Times New Roman" w:eastAsia="Times New Roman" w:hAnsi="Times New Roman" w:cs="Times New Roman"/>
        </w:rPr>
        <w:t>surance berdasarkan standar GRI terhadap nilai perusahaan pada perusahaan IDX30 periode 2022–2024. Penelitian ini juga menguji apakah frekuensi komite audit dan sustainability report assurance secara simultan berpengaruh terhadap nilai perusahaan pada peru</w:t>
      </w:r>
      <w:r>
        <w:rPr>
          <w:rFonts w:ascii="Times New Roman" w:eastAsia="Times New Roman" w:hAnsi="Times New Roman" w:cs="Times New Roman"/>
        </w:rPr>
        <w:t xml:space="preserve">sahaan IDX30 periode 2022–2024. Selain itu, rentang waktu dari 2022 hingga 2024 adalah waktu yang krusial untuk dianalisis karena menunjukkan tahap pemulihan ekonomi Indonesia setelah pandemi COVID-19 </w:t>
      </w:r>
      <w:sdt>
        <w:sdtPr>
          <w:rPr>
            <w:rFonts w:ascii="Times New Roman" w:eastAsia="Times New Roman" w:hAnsi="Times New Roman" w:cs="Times New Roman"/>
            <w:color w:val="000000"/>
          </w:rPr>
          <w:tag w:val="MENDELEY_CITATION_v3_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"/>
          <w:id w:val="-1834829661"/>
          <w:placeholder>
            <w:docPart w:val="DefaultPlaceholder_-1854013440"/>
          </w:placeholder>
        </w:sdtPr>
        <w:sdtEndPr/>
        <w:sdtContent>
          <w:r w:rsidR="00867FB8" w:rsidRPr="00867FB8">
            <w:rPr>
              <w:rFonts w:ascii="Times New Roman" w:eastAsia="Times New Roman" w:hAnsi="Times New Roman" w:cs="Times New Roman"/>
              <w:color w:val="000000"/>
            </w:rPr>
            <w:t>(Lusiana et al., 2025)</w:t>
          </w:r>
        </w:sdtContent>
      </w:sdt>
      <w:r>
        <w:rPr>
          <w:rFonts w:ascii="Times New Roman" w:eastAsia="Times New Roman" w:hAnsi="Times New Roman" w:cs="Times New Roman"/>
        </w:rPr>
        <w:t>. Dengan demikian, penelitian i</w:t>
      </w:r>
      <w:r>
        <w:rPr>
          <w:rFonts w:ascii="Times New Roman" w:eastAsia="Times New Roman" w:hAnsi="Times New Roman" w:cs="Times New Roman"/>
        </w:rPr>
        <w:t>ni diharapkan dapat memberikan pemahaman mengenai peran tata kelola perusahaan dan transparansi keberlanjutan dalam meningkatkan nilai perusahaan.</w:t>
      </w:r>
    </w:p>
    <w:p w14:paraId="7BD102B2" w14:textId="77777777" w:rsidR="00092A4B" w:rsidRDefault="00092A4B" w:rsidP="00B82E85">
      <w:pPr>
        <w:pBdr>
          <w:top w:val="nil"/>
          <w:left w:val="nil"/>
          <w:bottom w:val="nil"/>
          <w:right w:val="nil"/>
          <w:between w:val="nil"/>
        </w:pBdr>
        <w:tabs>
          <w:tab w:val="left" w:pos="4140"/>
        </w:tabs>
        <w:ind w:firstLine="709"/>
        <w:rPr>
          <w:rFonts w:ascii="Times New Roman" w:eastAsia="Times New Roman" w:hAnsi="Times New Roman" w:cs="Times New Roman"/>
        </w:rPr>
      </w:pPr>
    </w:p>
    <w:p w14:paraId="1C615F9A" w14:textId="77777777" w:rsidR="00092A4B" w:rsidRDefault="001B2295" w:rsidP="00B82E85">
      <w:pPr>
        <w:pBdr>
          <w:top w:val="nil"/>
          <w:left w:val="nil"/>
          <w:bottom w:val="nil"/>
          <w:right w:val="nil"/>
          <w:between w:val="nil"/>
        </w:pBdr>
        <w:tabs>
          <w:tab w:val="left" w:pos="4140"/>
        </w:tabs>
        <w:rPr>
          <w:rFonts w:ascii="Times New Roman" w:eastAsia="Times New Roman" w:hAnsi="Times New Roman" w:cs="Times New Roman"/>
          <w:b/>
          <w:bCs/>
        </w:rPr>
      </w:pPr>
      <w:r>
        <w:rPr>
          <w:rFonts w:ascii="Times New Roman" w:eastAsia="Times New Roman" w:hAnsi="Times New Roman" w:cs="Times New Roman"/>
          <w:b/>
          <w:bCs/>
        </w:rPr>
        <w:t>LANDASAN TEORI</w:t>
      </w:r>
    </w:p>
    <w:p w14:paraId="5E9D5103"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Agency Theory</w:t>
      </w:r>
    </w:p>
    <w:p w14:paraId="4A0E1E0C" w14:textId="7861F31E"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Agency Theory merupakan teori yang menjelaskan hubungan antara pemilik perusaha</w:t>
      </w:r>
      <w:r>
        <w:rPr>
          <w:rFonts w:ascii="Times New Roman" w:eastAsia="Times New Roman" w:hAnsi="Times New Roman" w:cs="Times New Roman"/>
        </w:rPr>
        <w:t>an (principal) dan pihak yang menjalankan perusahaan yaitu manajemen (agent). Hubungan ini muncul karena pemilik perusahaan memberikan wewenang kepada manajemen untuk mengelola perusahaan serta mengambil keputusan yang berkaitan dengan operasional perusaha</w:t>
      </w:r>
      <w:r>
        <w:rPr>
          <w:rFonts w:ascii="Times New Roman" w:eastAsia="Times New Roman" w:hAnsi="Times New Roman" w:cs="Times New Roman"/>
        </w:rPr>
        <w:t xml:space="preserve">an. Menurut </w:t>
      </w:r>
      <w:sdt>
        <w:sdtPr>
          <w:rPr>
            <w:rFonts w:ascii="Times New Roman" w:eastAsia="Times New Roman" w:hAnsi="Times New Roman" w:cs="Times New Roman"/>
            <w:color w:val="000000"/>
          </w:rPr>
          <w:tag w:val="MENDELEY_CITATION_v3_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mFjY2Vzc2VkIjp7ImRhdGUtcGFydHMiOltbMjAyNiwzLDI1XV19LCJVUkwiOiJodHRwczovL3d3dy50YXlsb3JmcmFuY2lzLmNvbS9jaGFwdGVycy9lZGl0LzEwLjQzMjQvOTc4MTMxNTE5MTE1Ny05L3RoZW9yeS1maXJtLW1hbmFnZXJpYWwtYmVoYXZpb3ItYWdlbmN5LWNvc3RzLW93bmVyc2hpcC1zdHJ1Y3R1cmUtbWljaGFlbC1qZW5zZW4td2lsbGlhbS1tZWNrbGluZyIsImlzc3VlZCI6eyJkYXRlLXBhcnRzIjpbWzE5NzYsMTBdXX0sInBhZ2U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LCJ2b2x1bWUiOiIzIn0sImlzVGVtcG9yYXJ5IjpmYWxzZX1dfQ=="/>
          <w:id w:val="1406185075"/>
          <w:placeholder>
            <w:docPart w:val="DefaultPlaceholder_-1854013440"/>
          </w:placeholder>
        </w:sdtPr>
        <w:sdtEndPr/>
        <w:sdtContent>
          <w:r w:rsidR="00163202" w:rsidRPr="00163202">
            <w:rPr>
              <w:rFonts w:ascii="Times New Roman" w:eastAsia="Times New Roman" w:hAnsi="Times New Roman" w:cs="Times New Roman"/>
              <w:color w:val="000000"/>
            </w:rPr>
            <w:t>Jensen &amp; Meckling, (1976)</w:t>
          </w:r>
        </w:sdtContent>
      </w:sdt>
      <w:r>
        <w:rPr>
          <w:rFonts w:ascii="Times New Roman" w:eastAsia="Times New Roman" w:hAnsi="Times New Roman" w:cs="Times New Roman"/>
        </w:rPr>
        <w:t>, hubungan antara principal dan agent dapat menimbulkan konflik kepentingan karena masing-masing pihak memiliki tujuan yang berbeda.</w:t>
      </w:r>
    </w:p>
    <w:p w14:paraId="1AA3A18E" w14:textId="2D187B8F"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Konflik kepentingan tersebut dapat terjadi karena manajemen memiliki akses </w:t>
      </w:r>
      <w:r>
        <w:rPr>
          <w:rFonts w:ascii="Times New Roman" w:eastAsia="Times New Roman" w:hAnsi="Times New Roman" w:cs="Times New Roman"/>
        </w:rPr>
        <w:t>informasi yang lebih besar mengenai kondisi perusahaan dibandingkan dengan pemegang saham. Kondisi ini disebut sebagai asimetri informasi, yaitu situasi di mana manajemen memiliki informasi yang lebih lengkap mengenai aktivitas dan kinerja perusahaan diban</w:t>
      </w:r>
      <w:r>
        <w:rPr>
          <w:rFonts w:ascii="Times New Roman" w:eastAsia="Times New Roman" w:hAnsi="Times New Roman" w:cs="Times New Roman"/>
        </w:rPr>
        <w:t xml:space="preserve">dingkan pihak eksternal seperti investor. Menurut </w:t>
      </w:r>
      <w:sdt>
        <w:sdtPr>
          <w:rPr>
            <w:rFonts w:ascii="Times New Roman" w:eastAsia="Times New Roman" w:hAnsi="Times New Roman" w:cs="Times New Roman"/>
            <w:color w:val="000000"/>
          </w:rPr>
          <w:tag w:val="MENDELEY_CITATION_v3_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"/>
          <w:id w:val="-257672574"/>
          <w:placeholder>
            <w:docPart w:val="DefaultPlaceholder_-1854013440"/>
          </w:placeholder>
        </w:sdtPr>
        <w:sdtEndPr/>
        <w:sdtContent>
          <w:r w:rsidR="00163202" w:rsidRPr="00163202">
            <w:rPr>
              <w:rFonts w:ascii="Times New Roman" w:eastAsia="Times New Roman" w:hAnsi="Times New Roman" w:cs="Times New Roman"/>
              <w:color w:val="000000"/>
            </w:rPr>
            <w:t>Karnawati, (2018)</w:t>
          </w:r>
        </w:sdtContent>
      </w:sdt>
      <w:r>
        <w:rPr>
          <w:rFonts w:ascii="Times New Roman" w:eastAsia="Times New Roman" w:hAnsi="Times New Roman" w:cs="Times New Roman"/>
        </w:rPr>
        <w:t>, asimetri informasi dapat membuat manajemen tidak bertindak sepenuhnya selaras dengan kepentingan pemegang saham, sehingga diperlukan adanya sistem pengawasan yang efisien dalam suatu pe</w:t>
      </w:r>
      <w:r>
        <w:rPr>
          <w:rFonts w:ascii="Times New Roman" w:eastAsia="Times New Roman" w:hAnsi="Times New Roman" w:cs="Times New Roman"/>
        </w:rPr>
        <w:t>rusahaan. Asimetri informasi dapat menyebabkan manajemen bertindak tidak sepenuhnya sesuai dengan kepentingan pemegang saham sehingga diperlukan mekanisme pengawasan yang efektif dalam perusahaan.</w:t>
      </w:r>
    </w:p>
    <w:p w14:paraId="12798D58" w14:textId="77777777" w:rsidR="00092A4B" w:rsidRDefault="00092A4B" w:rsidP="00B82E85">
      <w:pPr>
        <w:jc w:val="both"/>
        <w:rPr>
          <w:rFonts w:ascii="Times New Roman" w:eastAsia="Times New Roman" w:hAnsi="Times New Roman" w:cs="Times New Roman"/>
        </w:rPr>
      </w:pPr>
    </w:p>
    <w:p w14:paraId="5C302AC1"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Signaling Theory</w:t>
      </w:r>
    </w:p>
    <w:p w14:paraId="3EE51A63" w14:textId="7C3DC305"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Signaling Theory menjelaskan bahwa perusa</w:t>
      </w:r>
      <w:r>
        <w:rPr>
          <w:rFonts w:ascii="Times New Roman" w:eastAsia="Times New Roman" w:hAnsi="Times New Roman" w:cs="Times New Roman"/>
        </w:rPr>
        <w:t xml:space="preserve">haan dapat memberikan sinyal kepada pihak eksternal melalui informasi yang disampaikan kepada publik. Menurut </w:t>
      </w:r>
      <w:sdt>
        <w:sdtPr>
          <w:rPr>
            <w:rFonts w:ascii="Times New Roman" w:eastAsia="Times New Roman" w:hAnsi="Times New Roman" w:cs="Times New Roman"/>
            <w:color w:val="000000"/>
          </w:rPr>
          <w:tag w:val="MENDELEY_CITATION_v3_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"/>
          <w:id w:val="888691293"/>
          <w:placeholder>
            <w:docPart w:val="DefaultPlaceholder_-1854013440"/>
          </w:placeholder>
        </w:sdtPr>
        <w:sdtEndPr/>
        <w:sdtContent>
          <w:r w:rsidR="00163202" w:rsidRPr="00163202">
            <w:rPr>
              <w:rFonts w:ascii="Times New Roman" w:eastAsia="Times New Roman" w:hAnsi="Times New Roman" w:cs="Times New Roman"/>
              <w:color w:val="000000"/>
            </w:rPr>
            <w:t>Spence, (2009)</w:t>
          </w:r>
        </w:sdtContent>
      </w:sdt>
      <w:r>
        <w:rPr>
          <w:rFonts w:ascii="Times New Roman" w:eastAsia="Times New Roman" w:hAnsi="Times New Roman" w:cs="Times New Roman"/>
        </w:rPr>
        <w:t>, sinyal yang diberikan oleh perusahaan dapat digunakan oleh investor untuk menilai kondisi perusahaan serta prospek perusahaan di</w:t>
      </w:r>
      <w:r>
        <w:rPr>
          <w:rFonts w:ascii="Times New Roman" w:eastAsia="Times New Roman" w:hAnsi="Times New Roman" w:cs="Times New Roman"/>
        </w:rPr>
        <w:t xml:space="preserve"> masa depan. Informasi yang disampaikan perusahaan menjadi salah satu dasar bagi investor dalam mengambil keputusan investasi.</w:t>
      </w:r>
    </w:p>
    <w:p w14:paraId="793CB08D" w14:textId="43281BE9"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Dalam konteks penelitian ini, penyusunan sustainability report yang disertai dengan assurance dari pihak independen dapat menjad</w:t>
      </w:r>
      <w:r>
        <w:rPr>
          <w:rFonts w:ascii="Times New Roman" w:eastAsia="Times New Roman" w:hAnsi="Times New Roman" w:cs="Times New Roman"/>
        </w:rPr>
        <w:t>i sinyal positif bagi investor. Sustainability report adalah laporan yang tidak berfokus pada keuangan yang mencakup enam aspek kinerja yaitu ekonomi, lingkungan, hak asasi manusia, praktik ketenagakerjaan dan pekerjaan yang layak, sosial, serta tanggung j</w:t>
      </w:r>
      <w:r>
        <w:rPr>
          <w:rFonts w:ascii="Times New Roman" w:eastAsia="Times New Roman" w:hAnsi="Times New Roman" w:cs="Times New Roman"/>
        </w:rPr>
        <w:t xml:space="preserve">awab produk </w:t>
      </w:r>
      <w:sdt>
        <w:sdtPr>
          <w:rPr>
            <w:rFonts w:ascii="Times New Roman" w:eastAsia="Times New Roman" w:hAnsi="Times New Roman" w:cs="Times New Roman"/>
            <w:color w:val="000000"/>
          </w:rPr>
          <w:tag w:val="MENDELEY_CITATION_v3_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"/>
          <w:id w:val="1715238366"/>
          <w:placeholder>
            <w:docPart w:val="DefaultPlaceholder_-1854013440"/>
          </w:placeholder>
        </w:sdtPr>
        <w:sdtEndPr/>
        <w:sdtContent>
          <w:r w:rsidR="00163202" w:rsidRPr="00163202">
            <w:rPr>
              <w:rFonts w:ascii="Times New Roman" w:eastAsia="Times New Roman" w:hAnsi="Times New Roman" w:cs="Times New Roman"/>
              <w:color w:val="000000"/>
            </w:rPr>
            <w:t>(Susanto &amp; Tarigan, 2013)</w:t>
          </w:r>
        </w:sdtContent>
      </w:sdt>
      <w:r>
        <w:rPr>
          <w:rFonts w:ascii="Times New Roman" w:eastAsia="Times New Roman" w:hAnsi="Times New Roman" w:cs="Times New Roman"/>
        </w:rPr>
        <w:t xml:space="preserve">. Laporan ini biasanya disusun berdasarkan </w:t>
      </w:r>
      <w:r>
        <w:rPr>
          <w:rFonts w:ascii="Times New Roman" w:eastAsia="Times New Roman" w:hAnsi="Times New Roman" w:cs="Times New Roman"/>
        </w:rPr>
        <w:lastRenderedPageBreak/>
        <w:t>standar pelaporan internasional seperti Global Reporting Initiative (GRI) yang bertujuan untuk meningkatkan transparansi dan akuntabilitas perusahaan. Berdasarkan signaling t</w:t>
      </w:r>
      <w:r>
        <w:rPr>
          <w:rFonts w:ascii="Times New Roman" w:eastAsia="Times New Roman" w:hAnsi="Times New Roman" w:cs="Times New Roman"/>
        </w:rPr>
        <w:t xml:space="preserve">heory, perusahaan yang melakukan sustainability report assurance memberikan sinyal positif kepada pasar mengenai komitmen perusahaan terhadap transparansi dan praktik bisnis berkelanjutan </w:t>
      </w:r>
    </w:p>
    <w:p w14:paraId="284E1553" w14:textId="77777777" w:rsidR="00092A4B" w:rsidRDefault="00092A4B" w:rsidP="00B82E85">
      <w:pPr>
        <w:jc w:val="both"/>
        <w:rPr>
          <w:rFonts w:ascii="Times New Roman" w:eastAsia="Times New Roman" w:hAnsi="Times New Roman" w:cs="Times New Roman"/>
        </w:rPr>
      </w:pPr>
    </w:p>
    <w:p w14:paraId="5694CD9E"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Nilai Perusahaan</w:t>
      </w:r>
    </w:p>
    <w:p w14:paraId="2FEE6F2A" w14:textId="0AD99DE0"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Nilai perusahaan merupakan salah satu indikator p</w:t>
      </w:r>
      <w:r>
        <w:rPr>
          <w:rFonts w:ascii="Times New Roman" w:eastAsia="Times New Roman" w:hAnsi="Times New Roman" w:cs="Times New Roman"/>
        </w:rPr>
        <w:t xml:space="preserve">enting yang mencerminkan persepsi pasar terhadap kinerja dan prospek suatu perusahaan. Menurut </w:t>
      </w:r>
      <w:sdt>
        <w:sdtPr>
          <w:rPr>
            <w:rFonts w:ascii="Times New Roman" w:eastAsia="Times New Roman" w:hAnsi="Times New Roman" w:cs="Times New Roman"/>
            <w:color w:val="000000"/>
          </w:rPr>
          <w:tag w:val="MENDELEY_CITATION_v3_eyJjaXRhdGlvbklEIjoiTUVOREVMRVlfQ0lUQVRJT05fYmFmNDA5YTYtNGNhZC00NzcwLTg2MWEtMjQ2YjFmNGJkMjI4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
          <w:id w:val="640541837"/>
          <w:placeholder>
            <w:docPart w:val="DefaultPlaceholder_-1854013440"/>
          </w:placeholder>
        </w:sdtPr>
        <w:sdtEndPr/>
        <w:sdtContent>
          <w:r w:rsidR="00163202" w:rsidRPr="00163202">
            <w:rPr>
              <w:rFonts w:ascii="Times New Roman" w:eastAsia="Times New Roman" w:hAnsi="Times New Roman" w:cs="Times New Roman"/>
              <w:color w:val="000000"/>
            </w:rPr>
            <w:t>Manurung et al., (2025)</w:t>
          </w:r>
        </w:sdtContent>
      </w:sdt>
      <w:r>
        <w:rPr>
          <w:rFonts w:ascii="Times New Roman" w:eastAsia="Times New Roman" w:hAnsi="Times New Roman" w:cs="Times New Roman"/>
        </w:rPr>
        <w:t>, nilai sebuah perusahaan menggambarkan bagaimana pasar menilai kinerja dan kemungkinan masa depan suatu entitas bisnis. Indikator ini t</w:t>
      </w:r>
      <w:r>
        <w:rPr>
          <w:rFonts w:ascii="Times New Roman" w:eastAsia="Times New Roman" w:hAnsi="Times New Roman" w:cs="Times New Roman"/>
        </w:rPr>
        <w:t>erlihat pada fluktuasi harga saham, yang mencerminkan kepercayaan investor terhadap pengelolaan dalam menciptakan nilai jangka panjang. Semakin tinggi nilai perusahaan, maka semakin besar pula tingkat kepercayaan invest</w:t>
      </w:r>
      <w:r w:rsidR="00B82E85">
        <w:rPr>
          <w:rFonts w:ascii="Times New Roman" w:eastAsia="Times New Roman" w:hAnsi="Times New Roman" w:cs="Times New Roman"/>
        </w:rPr>
        <w:t>or terhadap perusahaan tersebut.</w:t>
      </w:r>
    </w:p>
    <w:p w14:paraId="42EA916B" w14:textId="598A550B"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Dal</w:t>
      </w:r>
      <w:r>
        <w:rPr>
          <w:rFonts w:ascii="Times New Roman" w:eastAsia="Times New Roman" w:hAnsi="Times New Roman" w:cs="Times New Roman"/>
        </w:rPr>
        <w:t xml:space="preserve">am perusahaan yang terdaftar di pasar modal, nilai perusahaan umumnya tercermin dari harga saham perusahaan. Nilai saham merujuk pada makna dari sebuah saham yang menunjukkan kekayaan dari perusahaan yang menerbitkan saham tersebut, di mana perubahan atau </w:t>
      </w:r>
      <w:r>
        <w:rPr>
          <w:rFonts w:ascii="Times New Roman" w:eastAsia="Times New Roman" w:hAnsi="Times New Roman" w:cs="Times New Roman"/>
        </w:rPr>
        <w:t xml:space="preserve">fluktuasinya sangat tergantung pada kekuatan penawaran dan permintaan yang berlaku di bursa (pasar sekunder) </w:t>
      </w:r>
      <w:sdt>
        <w:sdtPr>
          <w:rPr>
            <w:rFonts w:ascii="Times New Roman" w:eastAsia="Times New Roman" w:hAnsi="Times New Roman" w:cs="Times New Roman"/>
            <w:color w:val="000000"/>
          </w:rPr>
          <w:tag w:val="MENDELEY_CITATION_v3_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"/>
          <w:id w:val="-1845626603"/>
          <w:placeholder>
            <w:docPart w:val="DefaultPlaceholder_-1854013440"/>
          </w:placeholder>
        </w:sdtPr>
        <w:sdtEndPr/>
        <w:sdtContent>
          <w:r w:rsidR="00163202" w:rsidRPr="00163202">
            <w:rPr>
              <w:rFonts w:ascii="Times New Roman" w:eastAsia="Times New Roman" w:hAnsi="Times New Roman" w:cs="Times New Roman"/>
              <w:color w:val="000000"/>
            </w:rPr>
            <w:t>(Putri, 2021)</w:t>
          </w:r>
        </w:sdtContent>
      </w:sdt>
      <w:r>
        <w:rPr>
          <w:rFonts w:ascii="Times New Roman" w:eastAsia="Times New Roman" w:hAnsi="Times New Roman" w:cs="Times New Roman"/>
        </w:rPr>
        <w:t>. Harga saham mencerminkan penilaian investor terhadap berbagai informasi yang berkaitan dengan kinerja perusahaan, termasuk informa</w:t>
      </w:r>
      <w:r>
        <w:rPr>
          <w:rFonts w:ascii="Times New Roman" w:eastAsia="Times New Roman" w:hAnsi="Times New Roman" w:cs="Times New Roman"/>
        </w:rPr>
        <w:t>si keuangan maupun non-keuangan. Oleh karena itu, transparansi dan kredibilitas informasi yang disampaikan perusahaan menjadi faktor penting yang dapat mempengaruhi penilaian investor terhadap perusahaan.</w:t>
      </w:r>
    </w:p>
    <w:p w14:paraId="257C1E81" w14:textId="41FF2453"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 xml:space="preserve">Menurut </w:t>
      </w:r>
      <w:sdt>
        <w:sdtPr>
          <w:rPr>
            <w:rFonts w:ascii="Times New Roman" w:eastAsia="Times New Roman" w:hAnsi="Times New Roman" w:cs="Times New Roman"/>
            <w:color w:val="000000"/>
          </w:rPr>
          <w:tag w:val="MENDELEY_CITATION_v3_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"/>
          <w:id w:val="-560396860"/>
          <w:placeholder>
            <w:docPart w:val="DefaultPlaceholder_-1854013440"/>
          </w:placeholder>
        </w:sdtPr>
        <w:sdtEndPr/>
        <w:sdtContent>
          <w:r w:rsidR="00163202" w:rsidRPr="00163202">
            <w:rPr>
              <w:rFonts w:ascii="Times New Roman" w:eastAsia="Times New Roman" w:hAnsi="Times New Roman" w:cs="Times New Roman"/>
              <w:color w:val="000000"/>
            </w:rPr>
            <w:t>Brigham &amp; Houston, (2004)</w:t>
          </w:r>
        </w:sdtContent>
      </w:sdt>
      <w:r>
        <w:rPr>
          <w:rFonts w:ascii="Times New Roman" w:eastAsia="Times New Roman" w:hAnsi="Times New Roman" w:cs="Times New Roman"/>
        </w:rPr>
        <w:t>, nilai perusah</w:t>
      </w:r>
      <w:r>
        <w:rPr>
          <w:rFonts w:ascii="Times New Roman" w:eastAsia="Times New Roman" w:hAnsi="Times New Roman" w:cs="Times New Roman"/>
        </w:rPr>
        <w:t xml:space="preserve">aan merupakan nilai pasar perusahaan yang mencerminkan persepsi investor terhadap kinerja perusahaan serta kemampuan perusahaan dalam menciptakan nilai bagi pemegang saham. Nilai perusahaan yang tinggi menunjukkan bahwa perusahaan dinilai memiliki prospek </w:t>
      </w:r>
      <w:r>
        <w:rPr>
          <w:rFonts w:ascii="Times New Roman" w:eastAsia="Times New Roman" w:hAnsi="Times New Roman" w:cs="Times New Roman"/>
        </w:rPr>
        <w:t>yang baik oleh investor.</w:t>
      </w:r>
    </w:p>
    <w:p w14:paraId="2E06FD6B" w14:textId="426A1C13"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 xml:space="preserve">Dalam penelitian ini, nilai perusahaan diukur menggunakan rasio Price to Book Value (PBV). Rasio ini digunakan untuk mengukur seberapa tinggi harga saham yang tersedia di pasar dibandingkan dengan nilai buku dari saham tersebut </w:t>
      </w:r>
      <w:sdt>
        <w:sdtPr>
          <w:rPr>
            <w:rFonts w:ascii="Times New Roman" w:eastAsia="Times New Roman" w:hAnsi="Times New Roman" w:cs="Times New Roman"/>
            <w:color w:val="000000"/>
          </w:rPr>
          <w:tag w:val="MENDELEY_CITATION_v3_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"/>
          <w:id w:val="862316552"/>
          <w:placeholder>
            <w:docPart w:val="DefaultPlaceholder_-1854013440"/>
          </w:placeholder>
        </w:sdtPr>
        <w:sdtEndPr/>
        <w:sdtContent>
          <w:r w:rsidR="00163202" w:rsidRPr="00163202">
            <w:rPr>
              <w:rFonts w:ascii="Times New Roman" w:eastAsia="Times New Roman" w:hAnsi="Times New Roman" w:cs="Times New Roman"/>
              <w:color w:val="000000"/>
            </w:rPr>
            <w:t>(Suhadi, 2009)</w:t>
          </w:r>
        </w:sdtContent>
      </w:sdt>
      <w:r>
        <w:rPr>
          <w:rFonts w:ascii="Times New Roman" w:eastAsia="Times New Roman" w:hAnsi="Times New Roman" w:cs="Times New Roman"/>
        </w:rPr>
        <w:t>. PBV menunjukkan sejauh mana pasar menghargai nilai buku perusahaan. Semakin tinggi nilai PBV, maka semakin tinggi pula tingkat kepercayaan investor terhadap kinerja dan prospek perusahaan. Rumus Price to Book Value (PBV) adalah sebagai ber</w:t>
      </w:r>
      <w:r>
        <w:rPr>
          <w:rFonts w:ascii="Times New Roman" w:eastAsia="Times New Roman" w:hAnsi="Times New Roman" w:cs="Times New Roman"/>
        </w:rPr>
        <w:t xml:space="preserve">ikut </w:t>
      </w:r>
      <w:sdt>
        <w:sdtPr>
          <w:rPr>
            <w:rFonts w:ascii="Times New Roman" w:eastAsia="Times New Roman" w:hAnsi="Times New Roman" w:cs="Times New Roman"/>
            <w:color w:val="000000"/>
          </w:rPr>
          <w:tag w:val="MENDELEY_CITATION_v3_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"/>
          <w:id w:val="479046154"/>
          <w:placeholder>
            <w:docPart w:val="DefaultPlaceholder_-1854013440"/>
          </w:placeholder>
        </w:sdtPr>
        <w:sdtEndPr/>
        <w:sdtContent>
          <w:r w:rsidR="00163202" w:rsidRPr="00163202">
            <w:rPr>
              <w:rFonts w:ascii="Times New Roman" w:eastAsia="Times New Roman" w:hAnsi="Times New Roman" w:cs="Times New Roman"/>
              <w:color w:val="000000"/>
            </w:rPr>
            <w:t>(Sukma, 2021)</w:t>
          </w:r>
        </w:sdtContent>
      </w:sdt>
      <w:r w:rsidR="00B82E85">
        <w:rPr>
          <w:rFonts w:ascii="Times New Roman" w:eastAsia="Times New Roman" w:hAnsi="Times New Roman" w:cs="Times New Roman"/>
        </w:rPr>
        <w:t>.</w:t>
      </w:r>
    </w:p>
    <w:p w14:paraId="5D34C856" w14:textId="77777777" w:rsidR="00092A4B" w:rsidRDefault="001B2295" w:rsidP="00B82E85">
      <w:pPr>
        <w:jc w:val="both"/>
        <w:rPr>
          <w:rFonts w:ascii="Times New Roman" w:eastAsia="Times New Roman" w:hAnsi="Times New Roman" w:cs="Times New Roman"/>
        </w:rPr>
      </w:pPr>
      <w:r>
        <w:rPr>
          <w:rFonts w:ascii="Times New Roman" w:eastAsia="Times New Roman" w:hAnsi="Times New Roman" w:cs="Times New Roman"/>
        </w:rPr>
        <w:t>PBV = Harga Saham per Lembar Saham / Nilai Buku per Lembar Saham</w:t>
      </w:r>
    </w:p>
    <w:p w14:paraId="4CF67C9C" w14:textId="77777777" w:rsidR="00092A4B" w:rsidRDefault="00092A4B" w:rsidP="00B82E85">
      <w:pPr>
        <w:jc w:val="both"/>
        <w:rPr>
          <w:rFonts w:ascii="Times New Roman" w:eastAsia="Times New Roman" w:hAnsi="Times New Roman" w:cs="Times New Roman"/>
        </w:rPr>
      </w:pPr>
    </w:p>
    <w:p w14:paraId="27173FB2"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Frekuensi Komite Audit</w:t>
      </w:r>
    </w:p>
    <w:p w14:paraId="2DDEFCAE" w14:textId="2DEAEABC"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Salah satu mekanisme pengawasan dalam tata kelola perusahaan adalah keberadaan komite audit. Komite audit berfungsi membantu dewan komisaris dal</w:t>
      </w:r>
      <w:r>
        <w:rPr>
          <w:rFonts w:ascii="Times New Roman" w:eastAsia="Times New Roman" w:hAnsi="Times New Roman" w:cs="Times New Roman"/>
        </w:rPr>
        <w:t xml:space="preserve">am mengawasi proses pelaporan keuangan, sistem pengendalian internal, serta aktivitas audit yang dilakukan dalam perusahaan. Menurut </w:t>
      </w:r>
      <w:sdt>
        <w:sdtPr>
          <w:rPr>
            <w:rFonts w:ascii="Times New Roman" w:eastAsia="Times New Roman" w:hAnsi="Times New Roman" w:cs="Times New Roman"/>
            <w:color w:val="000000"/>
          </w:rPr>
          <w:tag w:val="MENDELEY_CITATION_v3_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"/>
          <w:id w:val="-1407758428"/>
          <w:placeholder>
            <w:docPart w:val="DefaultPlaceholder_-1854013440"/>
          </w:placeholder>
        </w:sdtPr>
        <w:sdtEndPr/>
        <w:sdtContent>
          <w:r w:rsidR="00163202" w:rsidRPr="00163202">
            <w:rPr>
              <w:rFonts w:ascii="Times New Roman" w:eastAsia="Times New Roman" w:hAnsi="Times New Roman" w:cs="Times New Roman"/>
              <w:color w:val="000000"/>
            </w:rPr>
            <w:t>Riahman Damanik &amp; Purnamasari, (2022)</w:t>
          </w:r>
        </w:sdtContent>
      </w:sdt>
      <w:r>
        <w:rPr>
          <w:rFonts w:ascii="Times New Roman" w:eastAsia="Times New Roman" w:hAnsi="Times New Roman" w:cs="Times New Roman"/>
        </w:rPr>
        <w:t>, sementara itu, komite audit bertugas untuk menegaskan bahwa aktivitas harian dilak</w:t>
      </w:r>
      <w:r>
        <w:rPr>
          <w:rFonts w:ascii="Times New Roman" w:eastAsia="Times New Roman" w:hAnsi="Times New Roman" w:cs="Times New Roman"/>
        </w:rPr>
        <w:t>sanakan sejalan dengan kebijakan yang ditentukan oleh perusahaan serta memastikan bahwa laporan keuangan yang disajikan telah sesuai dengan prinsip akuntansi yang diakui secara umum. Frekuensi rapat komite audit menjadi salah satu indikator yang menunjukka</w:t>
      </w:r>
      <w:r>
        <w:rPr>
          <w:rFonts w:ascii="Times New Roman" w:eastAsia="Times New Roman" w:hAnsi="Times New Roman" w:cs="Times New Roman"/>
        </w:rPr>
        <w:t>n tingkat aktivitas komite audit dalam menjalankan fungsi pengawasannya. Semakin sering komite audit melakukan pertemuan, maka semakin besar kemungkinan komite audit melakukan evaluasi terhadap kinerja manajemen serta memastikan bahwa laporan keuangan disu</w:t>
      </w:r>
      <w:r>
        <w:rPr>
          <w:rFonts w:ascii="Times New Roman" w:eastAsia="Times New Roman" w:hAnsi="Times New Roman" w:cs="Times New Roman"/>
        </w:rPr>
        <w:t xml:space="preserve">sun secara transparan dan akurat. Dengan keberadaan komite audit, diharapkan dapat meningkatkan pengawasan internal perusahaan dan mampu memberikan pertimbangan bagi para pemegang saham </w:t>
      </w:r>
      <w:sdt>
        <w:sdtPr>
          <w:rPr>
            <w:rFonts w:ascii="Times New Roman" w:eastAsia="Times New Roman" w:hAnsi="Times New Roman" w:cs="Times New Roman"/>
            <w:color w:val="000000"/>
          </w:rPr>
          <w:tag w:val="MENDELEY_CITATION_v3_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"/>
          <w:id w:val="-866218953"/>
          <w:placeholder>
            <w:docPart w:val="DefaultPlaceholder_-1854013440"/>
          </w:placeholder>
        </w:sdtPr>
        <w:sdtEndPr/>
        <w:sdtContent>
          <w:r w:rsidR="00163202" w:rsidRPr="00163202">
            <w:rPr>
              <w:rFonts w:ascii="Times New Roman" w:eastAsia="Times New Roman" w:hAnsi="Times New Roman" w:cs="Times New Roman"/>
              <w:color w:val="000000"/>
            </w:rPr>
            <w:t>(Riahman Damanik &amp; Purnamasari, 2022)</w:t>
          </w:r>
        </w:sdtContent>
      </w:sdt>
    </w:p>
    <w:p w14:paraId="66670611" w14:textId="6E97913E"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lastRenderedPageBreak/>
        <w:t>Komite audit merupakan salah</w:t>
      </w:r>
      <w:r>
        <w:rPr>
          <w:rFonts w:ascii="Times New Roman" w:eastAsia="Times New Roman" w:hAnsi="Times New Roman" w:cs="Times New Roman"/>
        </w:rPr>
        <w:t xml:space="preserve"> satu mekanisme tata kelola perusahaan yang berperan dalam membantu dewan komisaris dalam melakukan pengawasan terhadap proses pelaporan keuangan, sistem pengendalian internal, serta proses audit yang dilakukan oleh auditor internal maupun auditor eksterna</w:t>
      </w:r>
      <w:r>
        <w:rPr>
          <w:rFonts w:ascii="Times New Roman" w:eastAsia="Times New Roman" w:hAnsi="Times New Roman" w:cs="Times New Roman"/>
        </w:rPr>
        <w:t xml:space="preserve">l. Seperti yang dikemukakan </w:t>
      </w:r>
      <w:sdt>
        <w:sdtPr>
          <w:rPr>
            <w:rFonts w:ascii="Times New Roman" w:eastAsia="Times New Roman" w:hAnsi="Times New Roman" w:cs="Times New Roman"/>
            <w:color w:val="000000"/>
          </w:rPr>
          <w:tag w:val="MENDELEY_CITATION_v3_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"/>
          <w:id w:val="-778182633"/>
          <w:placeholder>
            <w:docPart w:val="DefaultPlaceholder_-1854013440"/>
          </w:placeholder>
        </w:sdtPr>
        <w:sdtEndPr/>
        <w:sdtContent>
          <w:r w:rsidR="00163202" w:rsidRPr="00163202">
            <w:rPr>
              <w:rFonts w:ascii="Times New Roman" w:eastAsia="Times New Roman" w:hAnsi="Times New Roman" w:cs="Times New Roman"/>
              <w:color w:val="000000"/>
            </w:rPr>
            <w:t>Amalia &amp; Suryono, (2016)</w:t>
          </w:r>
        </w:sdtContent>
      </w:sdt>
      <w:r>
        <w:rPr>
          <w:rFonts w:ascii="Times New Roman" w:eastAsia="Times New Roman" w:hAnsi="Times New Roman" w:cs="Times New Roman"/>
        </w:rPr>
        <w:t xml:space="preserve">, komite audit membantu dewan komisaris untuk memastikan efektivitas pelaksanaan tugas internal auditor. Keberadaan komite audit diharapkan mampu meningkatkan kualitas laporan keuangan dan meminimalkan </w:t>
      </w:r>
      <w:r>
        <w:rPr>
          <w:rFonts w:ascii="Times New Roman" w:eastAsia="Times New Roman" w:hAnsi="Times New Roman" w:cs="Times New Roman"/>
        </w:rPr>
        <w:t>terjadinya kecurangan dalam perusahaan.</w:t>
      </w:r>
    </w:p>
    <w:p w14:paraId="2C120CFC" w14:textId="273AF0C2"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 xml:space="preserve">Jumlah pertemuan yang dilakukan oleh komite audit dalam satu tahun dikenal sebagai frekuensi rapat komite audit </w:t>
      </w:r>
      <w:sdt>
        <w:sdtPr>
          <w:rPr>
            <w:rFonts w:ascii="Times New Roman" w:eastAsia="Times New Roman" w:hAnsi="Times New Roman" w:cs="Times New Roman"/>
            <w:color w:val="000000"/>
          </w:rPr>
          <w:tag w:val="MENDELEY_CITATION_v3_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"/>
          <w:id w:val="1140690450"/>
          <w:placeholder>
            <w:docPart w:val="DefaultPlaceholder_-1854013440"/>
          </w:placeholder>
        </w:sdtPr>
        <w:sdtEndPr/>
        <w:sdtContent>
          <w:r w:rsidR="00163202" w:rsidRPr="00163202">
            <w:rPr>
              <w:rFonts w:ascii="Times New Roman" w:eastAsia="Times New Roman" w:hAnsi="Times New Roman" w:cs="Times New Roman"/>
              <w:color w:val="000000"/>
            </w:rPr>
            <w:t>(Liyanto &amp; Anam, 2019)</w:t>
          </w:r>
        </w:sdtContent>
      </w:sdt>
      <w:r>
        <w:rPr>
          <w:rFonts w:ascii="Times New Roman" w:eastAsia="Times New Roman" w:hAnsi="Times New Roman" w:cs="Times New Roman"/>
        </w:rPr>
        <w:t xml:space="preserve">. Menurut </w:t>
      </w:r>
      <w:sdt>
        <w:sdtPr>
          <w:rPr>
            <w:rFonts w:ascii="Times New Roman" w:eastAsia="Times New Roman" w:hAnsi="Times New Roman" w:cs="Times New Roman"/>
            <w:color w:val="000000"/>
          </w:rPr>
          <w:tag w:val="MENDELEY_CITATION_v3_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"/>
          <w:id w:val="-80379770"/>
          <w:placeholder>
            <w:docPart w:val="DefaultPlaceholder_-1854013440"/>
          </w:placeholder>
        </w:sdtPr>
        <w:sdtEndPr/>
        <w:sdtContent>
          <w:r w:rsidR="00163202" w:rsidRPr="00163202">
            <w:rPr>
              <w:rFonts w:ascii="Times New Roman" w:eastAsia="Times New Roman" w:hAnsi="Times New Roman" w:cs="Times New Roman"/>
              <w:color w:val="000000"/>
            </w:rPr>
            <w:t>Ardyanti, (2023)</w:t>
          </w:r>
        </w:sdtContent>
      </w:sdt>
      <w:r>
        <w:rPr>
          <w:rFonts w:ascii="Times New Roman" w:eastAsia="Times New Roman" w:hAnsi="Times New Roman" w:cs="Times New Roman"/>
        </w:rPr>
        <w:t>, frekuensi pertemuan yang semakin meningkat akan m</w:t>
      </w:r>
      <w:r>
        <w:rPr>
          <w:rFonts w:ascii="Times New Roman" w:eastAsia="Times New Roman" w:hAnsi="Times New Roman" w:cs="Times New Roman"/>
        </w:rPr>
        <w:t xml:space="preserve">emperkuat efektivitas komite audit dalam memastikan bahwa manajemen tidak bertindak untuk kepentingan pribadi. Menurut </w:t>
      </w:r>
      <w:sdt>
        <w:sdtPr>
          <w:rPr>
            <w:rFonts w:ascii="Times New Roman" w:eastAsia="Times New Roman" w:hAnsi="Times New Roman" w:cs="Times New Roman"/>
            <w:color w:val="000000"/>
          </w:rPr>
          <w:tag w:val="MENDELEY_CITATION_v3_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"/>
          <w:id w:val="-1946767157"/>
          <w:placeholder>
            <w:docPart w:val="DefaultPlaceholder_-1854013440"/>
          </w:placeholder>
        </w:sdtPr>
        <w:sdtEndPr/>
        <w:sdtContent>
          <w:r w:rsidR="00163202" w:rsidRPr="00163202">
            <w:rPr>
              <w:rFonts w:ascii="Times New Roman" w:eastAsia="Times New Roman" w:hAnsi="Times New Roman" w:cs="Times New Roman"/>
              <w:color w:val="000000"/>
            </w:rPr>
            <w:t>Xie et al., (2003)</w:t>
          </w:r>
        </w:sdtContent>
      </w:sdt>
      <w:r>
        <w:rPr>
          <w:rFonts w:ascii="Times New Roman" w:eastAsia="Times New Roman" w:hAnsi="Times New Roman" w:cs="Times New Roman"/>
        </w:rPr>
        <w:t>, bahwa frekuensi pertemuan komite audit yang lebih tinggi menunjukkan tingkat aktivitas pengawasan yang lebih intens</w:t>
      </w:r>
      <w:r>
        <w:rPr>
          <w:rFonts w:ascii="Times New Roman" w:eastAsia="Times New Roman" w:hAnsi="Times New Roman" w:cs="Times New Roman"/>
        </w:rPr>
        <w:t>if terhadap manajemen, sehingga dapat mengurangi kemungkinan terjadinya manipulasi laporan keuangan.</w:t>
      </w:r>
    </w:p>
    <w:p w14:paraId="4B88EB26" w14:textId="3B71EFA5"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Pada perusahaan yang tergabung dalam indeks IDX30, keberadaan komite audit yang aktif menjadi sangat penting karena perusahaan-perusahaan tersebut merupak</w:t>
      </w:r>
      <w:r>
        <w:rPr>
          <w:rFonts w:ascii="Times New Roman" w:eastAsia="Times New Roman" w:hAnsi="Times New Roman" w:cs="Times New Roman"/>
        </w:rPr>
        <w:t xml:space="preserve">an perusahaan dengan kapitalisasi pasar besar dan tingkat perhatian investor yang tinggi </w:t>
      </w:r>
      <w:sdt>
        <w:sdtPr>
          <w:rPr>
            <w:rFonts w:ascii="Times New Roman" w:eastAsia="Times New Roman" w:hAnsi="Times New Roman" w:cs="Times New Roman"/>
            <w:color w:val="000000"/>
          </w:rPr>
          <w:tag w:val="MENDELEY_CITATION_v3_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"/>
          <w:id w:val="1553884517"/>
          <w:placeholder>
            <w:docPart w:val="DefaultPlaceholder_-1854013440"/>
          </w:placeholder>
        </w:sdtPr>
        <w:sdtEndPr/>
        <w:sdtContent>
          <w:r w:rsidR="00163202" w:rsidRPr="00163202">
            <w:rPr>
              <w:rFonts w:ascii="Times New Roman" w:eastAsia="Times New Roman" w:hAnsi="Times New Roman" w:cs="Times New Roman"/>
              <w:color w:val="000000"/>
            </w:rPr>
            <w:t>(Choiroh, 2024)</w:t>
          </w:r>
        </w:sdtContent>
      </w:sdt>
      <w:r>
        <w:rPr>
          <w:rFonts w:ascii="Times New Roman" w:eastAsia="Times New Roman" w:hAnsi="Times New Roman" w:cs="Times New Roman"/>
        </w:rPr>
        <w:t>. Oleh karena itu, frekuensi pertemuan komite audit dapat menjadi salah satu indikator efektivitas pengawasan terhadap proses audit dan pelaporan keua</w:t>
      </w:r>
      <w:r>
        <w:rPr>
          <w:rFonts w:ascii="Times New Roman" w:eastAsia="Times New Roman" w:hAnsi="Times New Roman" w:cs="Times New Roman"/>
        </w:rPr>
        <w:t>ngan perusahaan. Frekuensi komite audit dalam penelitian ini diukur berdasarkan jumlah rapat komite audit yang dilakukan dalam satu tahun sebagaimana yang diungkapkan dalam laporan tahunan perusahaan.</w:t>
      </w:r>
    </w:p>
    <w:p w14:paraId="5EB1F535" w14:textId="77777777" w:rsidR="00092A4B" w:rsidRDefault="00092A4B" w:rsidP="00B82E85">
      <w:pPr>
        <w:jc w:val="both"/>
        <w:rPr>
          <w:rFonts w:ascii="Times New Roman" w:eastAsia="Times New Roman" w:hAnsi="Times New Roman" w:cs="Times New Roman"/>
        </w:rPr>
      </w:pPr>
    </w:p>
    <w:p w14:paraId="6C18DB60"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Sustainability Report Assurance</w:t>
      </w:r>
    </w:p>
    <w:p w14:paraId="3153DD2E"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Sustainability report </w:t>
      </w:r>
      <w:r>
        <w:rPr>
          <w:rFonts w:ascii="Times New Roman" w:eastAsia="Times New Roman" w:hAnsi="Times New Roman" w:cs="Times New Roman"/>
        </w:rPr>
        <w:t xml:space="preserve">merupakan laporan yang disusun perusahaan untuk mengungkapkan kinerja perusahaan tidak hanya dari aspek ekonomi, tetapi juga dari aspek sosial dan lingkungan. Menurut </w:t>
      </w:r>
      <w:sdt>
        <w:sdtPr>
          <w:rPr>
            <w:rFonts w:ascii="Times New Roman" w:eastAsia="Times New Roman" w:hAnsi="Times New Roman" w:cs="Times New Roman"/>
            <w:color w:val="000000"/>
          </w:rPr>
          <w:tag w:val="MENDELEY_CITATION_v3_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"/>
          <w:id w:val="1546260577"/>
          <w:placeholder>
            <w:docPart w:val="DefaultPlaceholder_-1854013440"/>
          </w:placeholder>
        </w:sdtPr>
        <w:sdtEndPr/>
        <w:sdtContent>
          <w:r w:rsidR="00163202" w:rsidRPr="00163202">
            <w:rPr>
              <w:rFonts w:ascii="Times New Roman" w:eastAsia="Times New Roman" w:hAnsi="Times New Roman" w:cs="Times New Roman"/>
              <w:color w:val="000000"/>
            </w:rPr>
            <w:t>Wibowo, (2020)</w:t>
          </w:r>
        </w:sdtContent>
      </w:sdt>
      <w:r>
        <w:rPr>
          <w:rFonts w:ascii="Times New Roman" w:eastAsia="Times New Roman" w:hAnsi="Times New Roman" w:cs="Times New Roman"/>
        </w:rPr>
        <w:t>, laporan ini bertujuan untuk memberikan informasi kepada para pemangku k</w:t>
      </w:r>
      <w:r>
        <w:rPr>
          <w:rFonts w:ascii="Times New Roman" w:eastAsia="Times New Roman" w:hAnsi="Times New Roman" w:cs="Times New Roman"/>
        </w:rPr>
        <w:t>epentingan mengenai dampak aktivitas perusahaan terhadap keberlanjutan serta tanggung jawab sosial perusahaan. Dalam praktiknya, banyak perusahaan menggunakan standar pelaporan yang dikembangkan oleh Global Reporting Initiative (GRI) agar laporan yang disa</w:t>
      </w:r>
      <w:r>
        <w:rPr>
          <w:rFonts w:ascii="Times New Roman" w:eastAsia="Times New Roman" w:hAnsi="Times New Roman" w:cs="Times New Roman"/>
        </w:rPr>
        <w:t>jikan lebih sistematis, transparan, serta dapat dibandingkan antar perusahaan.</w:t>
      </w:r>
    </w:p>
    <w:p w14:paraId="1A884DFF"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Menurut Global Reporting Initiative (GRI), sustainability report adalah laporan yang diterbitkan oleh perusahaan atau organisasi mengenai dampak ekonomi, lingkungan, dan sosial</w:t>
      </w:r>
      <w:r>
        <w:rPr>
          <w:rFonts w:ascii="Times New Roman" w:eastAsia="Times New Roman" w:hAnsi="Times New Roman" w:cs="Times New Roman"/>
        </w:rPr>
        <w:t xml:space="preserve"> yang dihasilkan dari aktivitas operasional perusahaan. Standar GRI mendukung perusahaan dalam menilai, memahami, dan menyampaikan peran mereka dalam kemajuan yang berkelanjutan </w:t>
      </w:r>
      <w:sdt>
        <w:sdtPr>
          <w:rPr>
            <w:rFonts w:ascii="Times New Roman" w:eastAsia="Times New Roman" w:hAnsi="Times New Roman" w:cs="Times New Roman"/>
            <w:color w:val="000000"/>
          </w:rPr>
          <w:tag w:val="MENDELEY_CITATION_v3_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"/>
          <w:id w:val="-1395186553"/>
          <w:placeholder>
            <w:docPart w:val="DefaultPlaceholder_-1854013440"/>
          </w:placeholder>
        </w:sdtPr>
        <w:sdtEndPr/>
        <w:sdtContent>
          <w:r w:rsidR="00163202" w:rsidRPr="00163202">
            <w:rPr>
              <w:rFonts w:ascii="Times New Roman" w:eastAsia="Times New Roman" w:hAnsi="Times New Roman" w:cs="Times New Roman"/>
              <w:color w:val="000000"/>
            </w:rPr>
            <w:t>(Shamaya et al., 2024)</w:t>
          </w:r>
        </w:sdtContent>
      </w:sdt>
      <w:r>
        <w:rPr>
          <w:rFonts w:ascii="Times New Roman" w:eastAsia="Times New Roman" w:hAnsi="Times New Roman" w:cs="Times New Roman"/>
        </w:rPr>
        <w:t>.</w:t>
      </w:r>
    </w:p>
    <w:p w14:paraId="5BEDC934"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Dalam perkembangannya, laporan keberlanjutan tidak </w:t>
      </w:r>
      <w:r>
        <w:rPr>
          <w:rFonts w:ascii="Times New Roman" w:eastAsia="Times New Roman" w:hAnsi="Times New Roman" w:cs="Times New Roman"/>
        </w:rPr>
        <w:t xml:space="preserve">hanya disusun oleh perusahaan, tetapi juga mulai dilakukan proses assurance atau penjaminan oleh pihak independent </w:t>
      </w:r>
      <w:sdt>
        <w:sdtPr>
          <w:rPr>
            <w:rFonts w:ascii="Times New Roman" w:eastAsia="Times New Roman" w:hAnsi="Times New Roman" w:cs="Times New Roman"/>
            <w:color w:val="000000"/>
          </w:rPr>
          <w:tag w:val="MENDELEY_CITATION_v3_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"/>
          <w:id w:val="863939216"/>
          <w:placeholder>
            <w:docPart w:val="DefaultPlaceholder_-1854013440"/>
          </w:placeholder>
        </w:sdtPr>
        <w:sdtEndPr/>
        <w:sdtContent>
          <w:r w:rsidR="00163202" w:rsidRPr="00163202">
            <w:rPr>
              <w:rFonts w:ascii="Times New Roman" w:eastAsia="Times New Roman" w:hAnsi="Times New Roman" w:cs="Times New Roman"/>
              <w:color w:val="000000"/>
            </w:rPr>
            <w:t>(Alfara &amp; Kuntadi, 2024)</w:t>
          </w:r>
        </w:sdtContent>
      </w:sdt>
      <w:r>
        <w:rPr>
          <w:rFonts w:ascii="Times New Roman" w:eastAsia="Times New Roman" w:hAnsi="Times New Roman" w:cs="Times New Roman"/>
        </w:rPr>
        <w:t>. Sustainability report assurance merupakan proses verifikasi yang dilakukan oleh pihak ketiga independen untuk men</w:t>
      </w:r>
      <w:r>
        <w:rPr>
          <w:rFonts w:ascii="Times New Roman" w:eastAsia="Times New Roman" w:hAnsi="Times New Roman" w:cs="Times New Roman"/>
        </w:rPr>
        <w:t xml:space="preserve">ilai keandalan serta kredibilitas informasi keberlanjutan yang disajikan perusahaan. Proses assurance ini bertujuan untuk meningkatkan kepercayaan pemangku kepentingan terhadap informasi non-keuangan yang diungkapkan perusahaan. Menurut </w:t>
      </w:r>
      <w:sdt>
        <w:sdtPr>
          <w:rPr>
            <w:rFonts w:ascii="Times New Roman" w:eastAsia="Times New Roman" w:hAnsi="Times New Roman" w:cs="Times New Roman"/>
            <w:color w:val="000000"/>
          </w:rPr>
          <w:tag w:val="MENDELEY_CITATION_v3_eyJjaXRhdGlvbklEIjoiTUVOREVMRVlfQ0lUQVRJT05fZmEwNGFmOTItMWM0MS00ZjE5LWFmOTAtMjMwMWNhN2QyYjBl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
          <w:id w:val="1132513919"/>
          <w:placeholder>
            <w:docPart w:val="DefaultPlaceholder_-1854013440"/>
          </w:placeholder>
        </w:sdtPr>
        <w:sdtEndPr/>
        <w:sdtContent>
          <w:r w:rsidR="00163202" w:rsidRPr="00163202">
            <w:rPr>
              <w:rFonts w:ascii="Times New Roman" w:eastAsia="Times New Roman" w:hAnsi="Times New Roman" w:cs="Times New Roman"/>
              <w:color w:val="000000"/>
            </w:rPr>
            <w:t>Sìmnett et al., (2009)</w:t>
          </w:r>
        </w:sdtContent>
      </w:sdt>
      <w:r>
        <w:rPr>
          <w:rFonts w:ascii="Times New Roman" w:eastAsia="Times New Roman" w:hAnsi="Times New Roman" w:cs="Times New Roman"/>
        </w:rPr>
        <w:t>, assurance terhadap sustainability report dilakukan untuk meningkatkan kredibilitas laporan keberlanjutan yang disampaikan perusahaan kepada para pemangku kepentingan. Dengan adanya assurance, laporan keberlanjutan menjadi lebih dapat dipercaya karen</w:t>
      </w:r>
      <w:r>
        <w:rPr>
          <w:rFonts w:ascii="Times New Roman" w:eastAsia="Times New Roman" w:hAnsi="Times New Roman" w:cs="Times New Roman"/>
        </w:rPr>
        <w:t>a telah melalui proses evaluasi oleh pihak independen yang kompeten.</w:t>
      </w:r>
    </w:p>
    <w:p w14:paraId="790551B2"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Dari perspektif audit dan tata kelola perusahaan, sustainability report assurance dapat dipandang sebagai bagian dari mekanisme pengawasan yang bertujuan meningkatkan transparansi </w:t>
      </w:r>
      <w:r>
        <w:rPr>
          <w:rFonts w:ascii="Times New Roman" w:eastAsia="Times New Roman" w:hAnsi="Times New Roman" w:cs="Times New Roman"/>
        </w:rPr>
        <w:lastRenderedPageBreak/>
        <w:t xml:space="preserve">serta </w:t>
      </w:r>
      <w:r>
        <w:rPr>
          <w:rFonts w:ascii="Times New Roman" w:eastAsia="Times New Roman" w:hAnsi="Times New Roman" w:cs="Times New Roman"/>
        </w:rPr>
        <w:t xml:space="preserve">akuntabilitas perusahaan. Menurut </w:t>
      </w:r>
      <w:sdt>
        <w:sdtPr>
          <w:rPr>
            <w:rFonts w:ascii="Times New Roman" w:eastAsia="Times New Roman" w:hAnsi="Times New Roman" w:cs="Times New Roman"/>
            <w:color w:val="000000"/>
          </w:rPr>
          <w:tag w:val="MENDELEY_CITATION_v3_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"/>
          <w:id w:val="-1445691205"/>
          <w:placeholder>
            <w:docPart w:val="DefaultPlaceholder_-1854013440"/>
          </w:placeholder>
        </w:sdtPr>
        <w:sdtEndPr/>
        <w:sdtContent>
          <w:r w:rsidR="00163202" w:rsidRPr="00163202">
            <w:rPr>
              <w:rFonts w:ascii="Times New Roman" w:eastAsia="Times New Roman" w:hAnsi="Times New Roman" w:cs="Times New Roman"/>
              <w:color w:val="000000"/>
            </w:rPr>
            <w:t>Murdianingsih et al., (2022)</w:t>
          </w:r>
        </w:sdtContent>
      </w:sdt>
      <w:r>
        <w:rPr>
          <w:rFonts w:ascii="Times New Roman" w:eastAsia="Times New Roman" w:hAnsi="Times New Roman" w:cs="Times New Roman"/>
        </w:rPr>
        <w:t>, sutainability report dalam pelaporan menyeluruh, serta menyusun laporan keuangan perusahaan yang bisa dipertanggungjawabkan, jelas, dan tepat waktu. Proses assurance membantu memastikan bahw</w:t>
      </w:r>
      <w:r>
        <w:rPr>
          <w:rFonts w:ascii="Times New Roman" w:eastAsia="Times New Roman" w:hAnsi="Times New Roman" w:cs="Times New Roman"/>
        </w:rPr>
        <w:t>a informasi keberlanjutan yang disampaikan perusahaan telah disusun sesuai dengan standar pelaporan yang berlaku, seperti standar GRI, serta mencerminkan kondisi perusahaan secara lebih objektif.</w:t>
      </w:r>
    </w:p>
    <w:p w14:paraId="03B22D4E"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Dalam konteks pasar modal, perusahaan yang mengungkapkan </w:t>
      </w:r>
      <w:r>
        <w:rPr>
          <w:rFonts w:ascii="Times New Roman" w:eastAsia="Times New Roman" w:hAnsi="Times New Roman" w:cs="Times New Roman"/>
        </w:rPr>
        <w:t xml:space="preserve">laporan keberlanjutan yang telah melalui proses assurance sering kali dipersepsikan memiliki komitmen yang lebih kuat terhadap transparansi dan praktik bisnis berkelanjutan </w:t>
      </w:r>
      <w:sdt>
        <w:sdtPr>
          <w:rPr>
            <w:rFonts w:ascii="Times New Roman" w:eastAsia="Times New Roman" w:hAnsi="Times New Roman" w:cs="Times New Roman"/>
            <w:color w:val="000000"/>
          </w:rPr>
          <w:tag w:val="MENDELEY_CITATION_v3_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"/>
          <w:id w:val="1496614763"/>
          <w:placeholder>
            <w:docPart w:val="DefaultPlaceholder_-1854013440"/>
          </w:placeholder>
        </w:sdtPr>
        <w:sdtEndPr/>
        <w:sdtContent>
          <w:r w:rsidR="00163202" w:rsidRPr="00163202">
            <w:rPr>
              <w:rFonts w:ascii="Times New Roman" w:eastAsia="Times New Roman" w:hAnsi="Times New Roman" w:cs="Times New Roman"/>
              <w:color w:val="000000"/>
            </w:rPr>
            <w:t>(Safitri et al., 2025)</w:t>
          </w:r>
        </w:sdtContent>
      </w:sdt>
      <w:r>
        <w:rPr>
          <w:rFonts w:ascii="Times New Roman" w:eastAsia="Times New Roman" w:hAnsi="Times New Roman" w:cs="Times New Roman"/>
        </w:rPr>
        <w:t xml:space="preserve">. Hal ini dapat meningkatkan kepercayaan investor terhadap </w:t>
      </w:r>
      <w:r>
        <w:rPr>
          <w:rFonts w:ascii="Times New Roman" w:eastAsia="Times New Roman" w:hAnsi="Times New Roman" w:cs="Times New Roman"/>
        </w:rPr>
        <w:t xml:space="preserve">perusahaan serta berpotensi meningkatkan nilai perusahaan di pasar. Dengan demikian, sustainability report assurance berdasarkan standar GRI menjadi salah satu indikator penting dalam menilai kualitas pengungkapan informasi keberlanjutan perusahaan </w:t>
      </w:r>
      <w:sdt>
        <w:sdtPr>
          <w:rPr>
            <w:rFonts w:ascii="Times New Roman" w:eastAsia="Times New Roman" w:hAnsi="Times New Roman" w:cs="Times New Roman"/>
            <w:color w:val="000000"/>
          </w:rPr>
          <w:tag w:val="MENDELEY_CITATION_v3_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"/>
          <w:id w:val="22298091"/>
          <w:placeholder>
            <w:docPart w:val="DefaultPlaceholder_-1854013440"/>
          </w:placeholder>
        </w:sdtPr>
        <w:sdtEndPr/>
        <w:sdtContent>
          <w:r w:rsidR="00163202" w:rsidRPr="00163202">
            <w:rPr>
              <w:rFonts w:ascii="Times New Roman" w:eastAsia="Times New Roman" w:hAnsi="Times New Roman" w:cs="Times New Roman"/>
              <w:color w:val="000000"/>
            </w:rPr>
            <w:t>(R. Amalia et al., 2024)</w:t>
          </w:r>
        </w:sdtContent>
      </w:sdt>
      <w:r>
        <w:rPr>
          <w:rFonts w:ascii="Times New Roman" w:eastAsia="Times New Roman" w:hAnsi="Times New Roman" w:cs="Times New Roman"/>
        </w:rPr>
        <w:t>.</w:t>
      </w:r>
    </w:p>
    <w:p w14:paraId="2A6C007F" w14:textId="6580CAD2"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Sustainability report assurance bertujuan untuk meningkatkan kredibilitas informasi yang disampaikan perusahaan kepada para pemangku kepentingan. Dengan adanya assurance terhadap laporan keberlanjutan, investor dapat memperoleh keyaki</w:t>
      </w:r>
      <w:r>
        <w:rPr>
          <w:rFonts w:ascii="Times New Roman" w:eastAsia="Times New Roman" w:hAnsi="Times New Roman" w:cs="Times New Roman"/>
        </w:rPr>
        <w:t>nan bahwa informasi yang disampaikan perusahaan telah diverifikasi secara independen. Berdasarkan signaling theory, perusahaan yang melakukan sustainability report assurance memberikan sinyal positif kepada pasar mengenai komitmen perusahaan terhadap trans</w:t>
      </w:r>
      <w:r>
        <w:rPr>
          <w:rFonts w:ascii="Times New Roman" w:eastAsia="Times New Roman" w:hAnsi="Times New Roman" w:cs="Times New Roman"/>
        </w:rPr>
        <w:t xml:space="preserve">paransi dan praktik bisnis berkelanjutan. </w:t>
      </w:r>
    </w:p>
    <w:p w14:paraId="0C5BC38F" w14:textId="77777777" w:rsidR="00092A4B" w:rsidRDefault="00092A4B" w:rsidP="00B82E85">
      <w:pPr>
        <w:jc w:val="both"/>
        <w:rPr>
          <w:rFonts w:ascii="Times New Roman" w:eastAsia="Times New Roman" w:hAnsi="Times New Roman" w:cs="Times New Roman"/>
        </w:rPr>
      </w:pPr>
    </w:p>
    <w:p w14:paraId="376A0580"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Pengaruh Frekuensi Komite Audit terhadap Nilai Perusahaan</w:t>
      </w:r>
    </w:p>
    <w:p w14:paraId="6F06D570"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Komite audit merupakan salah satu mekanisme tata kelola perusahaan yang berfungsi membantu dewan komisaris dalam menjalankan fungsi pengawasan terhadap pr</w:t>
      </w:r>
      <w:r>
        <w:rPr>
          <w:rFonts w:ascii="Times New Roman" w:eastAsia="Times New Roman" w:hAnsi="Times New Roman" w:cs="Times New Roman"/>
        </w:rPr>
        <w:t xml:space="preserve">oses pelaporan keuangan, sistem pengendalian internal, manajemen risiko, serta proses audit yang dilakukan oleh auditor internal maupun auditor eksternal. Berdasarkan </w:t>
      </w:r>
      <w:sdt>
        <w:sdtPr>
          <w:rPr>
            <w:rFonts w:ascii="Times New Roman" w:eastAsia="Times New Roman" w:hAnsi="Times New Roman" w:cs="Times New Roman"/>
            <w:color w:val="000000"/>
          </w:rPr>
          <w:tag w:val="MENDELEY_CITATION_v3_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"/>
          <w:id w:val="-945068910"/>
          <w:placeholder>
            <w:docPart w:val="DefaultPlaceholder_-1854013440"/>
          </w:placeholder>
        </w:sdtPr>
        <w:sdtEndPr/>
        <w:sdtContent>
          <w:r w:rsidR="00163202" w:rsidRPr="00163202">
            <w:rPr>
              <w:rFonts w:ascii="Times New Roman" w:eastAsia="Times New Roman" w:hAnsi="Times New Roman" w:cs="Times New Roman"/>
              <w:color w:val="000000"/>
            </w:rPr>
            <w:t>Anzelya, (2020)</w:t>
          </w:r>
        </w:sdtContent>
      </w:sdt>
      <w:r>
        <w:rPr>
          <w:rFonts w:ascii="Times New Roman" w:eastAsia="Times New Roman" w:hAnsi="Times New Roman" w:cs="Times New Roman"/>
        </w:rPr>
        <w:t>, kehadiran komite audit diharapkan dapat memperkuat fungsinya dalam hal</w:t>
      </w:r>
      <w:r>
        <w:rPr>
          <w:rFonts w:ascii="Times New Roman" w:eastAsia="Times New Roman" w:hAnsi="Times New Roman" w:cs="Times New Roman"/>
        </w:rPr>
        <w:t xml:space="preserve"> pengawasan serta memperbaiki mekanisme saling kontrol yang mampu memberikan perlindungan kepada para pemegang saham dan pemangku kepentingan lainnya.</w:t>
      </w:r>
    </w:p>
    <w:p w14:paraId="4B067C42"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Salah satu indikator yang sering digunakan untuk menilai efektivitas komite audit adalah frekuensi perte</w:t>
      </w:r>
      <w:r>
        <w:rPr>
          <w:rFonts w:ascii="Times New Roman" w:eastAsia="Times New Roman" w:hAnsi="Times New Roman" w:cs="Times New Roman"/>
        </w:rPr>
        <w:t>muan komite audit. Frekuensi rapat komite audit menunjukkan seberapa aktif komite audit menjalankan fungsi pengawasan terhadap aktivitas perusahaan. Pertemuan yang dilakukan secara berkala dapat membantu mengidentifikasi dan menyelesaikan masalah yang berk</w:t>
      </w:r>
      <w:r>
        <w:rPr>
          <w:rFonts w:ascii="Times New Roman" w:eastAsia="Times New Roman" w:hAnsi="Times New Roman" w:cs="Times New Roman"/>
        </w:rPr>
        <w:t xml:space="preserve">aitan dengan laporan keuangan </w:t>
      </w:r>
      <w:sdt>
        <w:sdtPr>
          <w:rPr>
            <w:rFonts w:ascii="Times New Roman" w:eastAsia="Times New Roman" w:hAnsi="Times New Roman" w:cs="Times New Roman"/>
            <w:color w:val="000000"/>
          </w:rPr>
          <w:tag w:val="MENDELEY_CITATION_v3_eyJjaXRhdGlvbklEIjoiTUVOREVMRVlfQ0lUQVRJT05fZmM3MDVjYTgtNDI2ZS00MjBkLWIwOGUtMzIwYTBlMGY4YTcw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
          <w:id w:val="-583535071"/>
          <w:placeholder>
            <w:docPart w:val="DefaultPlaceholder_-1854013440"/>
          </w:placeholder>
        </w:sdtPr>
        <w:sdtEndPr/>
        <w:sdtContent>
          <w:r w:rsidR="00163202" w:rsidRPr="00163202">
            <w:rPr>
              <w:rFonts w:ascii="Times New Roman" w:eastAsia="Times New Roman" w:hAnsi="Times New Roman" w:cs="Times New Roman"/>
              <w:color w:val="000000"/>
            </w:rPr>
            <w:t>(Rosalina, 2025)</w:t>
          </w:r>
        </w:sdtContent>
      </w:sdt>
      <w:r>
        <w:rPr>
          <w:rFonts w:ascii="Times New Roman" w:eastAsia="Times New Roman" w:hAnsi="Times New Roman" w:cs="Times New Roman"/>
        </w:rPr>
        <w:t xml:space="preserve">. Semakin sering komite audit melakukan pertemuan, maka semakin besar peluang bagi komite audit untuk membahas berbagai permasalahan terkait pelaporan keuangan, pengendalian internal, serta proses audit yang </w:t>
      </w:r>
      <w:r>
        <w:rPr>
          <w:rFonts w:ascii="Times New Roman" w:eastAsia="Times New Roman" w:hAnsi="Times New Roman" w:cs="Times New Roman"/>
        </w:rPr>
        <w:t>sedang berlangsung.</w:t>
      </w:r>
    </w:p>
    <w:p w14:paraId="3B737868"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Menurut </w:t>
      </w:r>
      <w:sdt>
        <w:sdtPr>
          <w:rPr>
            <w:rFonts w:ascii="Times New Roman" w:eastAsia="Times New Roman" w:hAnsi="Times New Roman" w:cs="Times New Roman"/>
            <w:color w:val="000000"/>
          </w:rPr>
          <w:tag w:val="MENDELEY_CITATION_v3_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"/>
          <w:id w:val="-2131079349"/>
          <w:placeholder>
            <w:docPart w:val="DefaultPlaceholder_-1854013440"/>
          </w:placeholder>
        </w:sdtPr>
        <w:sdtEndPr/>
        <w:sdtContent>
          <w:r w:rsidR="00163202" w:rsidRPr="00163202">
            <w:rPr>
              <w:rFonts w:ascii="Times New Roman" w:eastAsia="Times New Roman" w:hAnsi="Times New Roman" w:cs="Times New Roman"/>
              <w:color w:val="000000"/>
            </w:rPr>
            <w:t>Anderson et al., (2003)</w:t>
          </w:r>
        </w:sdtContent>
      </w:sdt>
      <w:r>
        <w:rPr>
          <w:rFonts w:ascii="Times New Roman" w:eastAsia="Times New Roman" w:hAnsi="Times New Roman" w:cs="Times New Roman"/>
        </w:rPr>
        <w:t>, komite audit yang aktif dalam menjalankan fungsi pengawasan dapat meningkatkan kualitas pelaporan keuangan perusahaan serta mengurangi konflik kepentingan antara manajemen dan pemegang saham. Aktivita</w:t>
      </w:r>
      <w:r>
        <w:rPr>
          <w:rFonts w:ascii="Times New Roman" w:eastAsia="Times New Roman" w:hAnsi="Times New Roman" w:cs="Times New Roman"/>
        </w:rPr>
        <w:t>s pengawasan yang lebih intensif memungkinkan komite audit untuk mengidentifikasi potensi masalah secara lebih dini sehingga dapat meningkatkan transparansi informasi keuangan perusahaan.</w:t>
      </w:r>
    </w:p>
    <w:p w14:paraId="6CB68DF1"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Dari perspektif Agency Theory, frekuensi pertemuan komite audit yan</w:t>
      </w:r>
      <w:r>
        <w:rPr>
          <w:rFonts w:ascii="Times New Roman" w:eastAsia="Times New Roman" w:hAnsi="Times New Roman" w:cs="Times New Roman"/>
        </w:rPr>
        <w:t>g lebih tinggi dapat membantu mengurangi konflik kepentingan antara manajemen sebagai agen dan pemegang saham sebagai prinsipal. Melalui pengawasan yang lebih efektif, komite audit dapat memastikan bahwa manajemen menjalankan kegiatan operasional perusahaa</w:t>
      </w:r>
      <w:r>
        <w:rPr>
          <w:rFonts w:ascii="Times New Roman" w:eastAsia="Times New Roman" w:hAnsi="Times New Roman" w:cs="Times New Roman"/>
        </w:rPr>
        <w:t xml:space="preserve">n secara transparan dan sesuai dengan kepentingan pemegang saham </w:t>
      </w:r>
      <w:sdt>
        <w:sdtPr>
          <w:rPr>
            <w:rFonts w:ascii="Times New Roman" w:eastAsia="Times New Roman" w:hAnsi="Times New Roman" w:cs="Times New Roman"/>
            <w:color w:val="000000"/>
          </w:rPr>
          <w:tag w:val="MENDELEY_CITATION_v3_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"/>
          <w:id w:val="-1089539190"/>
          <w:placeholder>
            <w:docPart w:val="DefaultPlaceholder_-1854013440"/>
          </w:placeholder>
        </w:sdtPr>
        <w:sdtEndPr/>
        <w:sdtContent>
          <w:r w:rsidR="00163202" w:rsidRPr="00163202">
            <w:rPr>
              <w:rFonts w:ascii="Times New Roman" w:eastAsia="Times New Roman" w:hAnsi="Times New Roman" w:cs="Times New Roman"/>
              <w:color w:val="000000"/>
            </w:rPr>
            <w:t>(Syahputra et al., 2025)</w:t>
          </w:r>
        </w:sdtContent>
      </w:sdt>
      <w:r>
        <w:rPr>
          <w:rFonts w:ascii="Times New Roman" w:eastAsia="Times New Roman" w:hAnsi="Times New Roman" w:cs="Times New Roman"/>
        </w:rPr>
        <w:t xml:space="preserve">. Selain itu, frekuensi pertemuan komite audit juga dapat meningkatkan kualitas proses audit serta efektivitas komunikasi antara komite </w:t>
      </w:r>
      <w:r>
        <w:rPr>
          <w:rFonts w:ascii="Times New Roman" w:eastAsia="Times New Roman" w:hAnsi="Times New Roman" w:cs="Times New Roman"/>
        </w:rPr>
        <w:lastRenderedPageBreak/>
        <w:t>audit dengan auditor eksterna</w:t>
      </w:r>
      <w:r>
        <w:rPr>
          <w:rFonts w:ascii="Times New Roman" w:eastAsia="Times New Roman" w:hAnsi="Times New Roman" w:cs="Times New Roman"/>
        </w:rPr>
        <w:t xml:space="preserve">l. Komite audit yang secara aktif mengadakan pertemuan cenderung lebih berperan dalam proses penilaian laporan keuangan serta diskusi mengenai temuan audit, sehingga dapat meningkatkan mutu pengawasan terhadap proses pelaporan keuangan </w:t>
      </w:r>
      <w:sdt>
        <w:sdtPr>
          <w:rPr>
            <w:rFonts w:ascii="Times New Roman" w:eastAsia="Times New Roman" w:hAnsi="Times New Roman" w:cs="Times New Roman"/>
            <w:color w:val="000000"/>
          </w:rPr>
          <w:tag w:val="MENDELEY_CITATION_v3_eyJjaXRhdGlvbklEIjoiTUVOREVMRVlfQ0lUQVRJT05fNmE5MjYyZjEtODliYy00MDI3LTliYzYtYjQ5ODhjNGMyYjZm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
          <w:id w:val="752863163"/>
          <w:placeholder>
            <w:docPart w:val="DefaultPlaceholder_-1854013440"/>
          </w:placeholder>
        </w:sdtPr>
        <w:sdtEndPr/>
        <w:sdtContent>
          <w:r w:rsidR="00163202" w:rsidRPr="00163202">
            <w:rPr>
              <w:rFonts w:ascii="Times New Roman" w:eastAsia="Times New Roman" w:hAnsi="Times New Roman" w:cs="Times New Roman"/>
              <w:color w:val="000000"/>
            </w:rPr>
            <w:t>(Rosalina, 2025)</w:t>
          </w:r>
        </w:sdtContent>
      </w:sdt>
      <w:r>
        <w:rPr>
          <w:rFonts w:ascii="Times New Roman" w:eastAsia="Times New Roman" w:hAnsi="Times New Roman" w:cs="Times New Roman"/>
        </w:rPr>
        <w:t>.</w:t>
      </w:r>
    </w:p>
    <w:p w14:paraId="02A71153" w14:textId="327049A4"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Peningkatan kualitas pengawasan ini pada akhirnya dapat meningkatkan kepercayaan investor terhadap perusahaan. Investor cenderung memberikan penilaian yang lebih positif terhadap perusahaan yang memiliki mekanisme tata kelola yang baik. Kepercayaan invest</w:t>
      </w:r>
      <w:r>
        <w:rPr>
          <w:rFonts w:ascii="Times New Roman" w:eastAsia="Times New Roman" w:hAnsi="Times New Roman" w:cs="Times New Roman"/>
        </w:rPr>
        <w:t xml:space="preserve">or tersebut dapat tercermin dalam peningkatan harga saham perusahaan di pasar modal, yang pada akhirnya akan meningkatkan nilai perusahaan </w:t>
      </w:r>
      <w:sdt>
        <w:sdtPr>
          <w:rPr>
            <w:rFonts w:ascii="Times New Roman" w:eastAsia="Times New Roman" w:hAnsi="Times New Roman" w:cs="Times New Roman"/>
            <w:color w:val="000000"/>
          </w:rPr>
          <w:tag w:val="MENDELEY_CITATION_v3_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"/>
          <w:id w:val="-387418539"/>
          <w:placeholder>
            <w:docPart w:val="DefaultPlaceholder_-1854013440"/>
          </w:placeholder>
        </w:sdtPr>
        <w:sdtEndPr/>
        <w:sdtContent>
          <w:r w:rsidR="00163202" w:rsidRPr="00163202">
            <w:rPr>
              <w:rFonts w:ascii="Times New Roman" w:eastAsia="Times New Roman" w:hAnsi="Times New Roman" w:cs="Times New Roman"/>
              <w:color w:val="000000"/>
            </w:rPr>
            <w:t>(Josephine et al., 2019)</w:t>
          </w:r>
        </w:sdtContent>
      </w:sdt>
      <w:r>
        <w:rPr>
          <w:rFonts w:ascii="Times New Roman" w:eastAsia="Times New Roman" w:hAnsi="Times New Roman" w:cs="Times New Roman"/>
        </w:rPr>
        <w:t>. Dalam konteks nilai perusahaan, komite audit yang aktif melalui frekuensi rapat yang ting</w:t>
      </w:r>
      <w:r>
        <w:rPr>
          <w:rFonts w:ascii="Times New Roman" w:eastAsia="Times New Roman" w:hAnsi="Times New Roman" w:cs="Times New Roman"/>
        </w:rPr>
        <w:t xml:space="preserve">gi dapat meningkatkan kepercayaan investor terhadap kredibilitas laporan keuangan perusahaan. Menurut </w:t>
      </w:r>
      <w:sdt>
        <w:sdtPr>
          <w:rPr>
            <w:rFonts w:ascii="Times New Roman" w:eastAsia="Times New Roman" w:hAnsi="Times New Roman" w:cs="Times New Roman"/>
            <w:color w:val="000000"/>
          </w:rPr>
          <w:tag w:val="MENDELEY_CITATION_v3_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"/>
          <w:id w:val="1656030341"/>
          <w:placeholder>
            <w:docPart w:val="DefaultPlaceholder_-1854013440"/>
          </w:placeholder>
        </w:sdtPr>
        <w:sdtEndPr/>
        <w:sdtContent>
          <w:r w:rsidR="00163202" w:rsidRPr="00163202">
            <w:rPr>
              <w:rFonts w:ascii="Times New Roman" w:eastAsia="Times New Roman" w:hAnsi="Times New Roman" w:cs="Times New Roman"/>
              <w:color w:val="000000"/>
            </w:rPr>
            <w:t>Sapna et al., (2025)</w:t>
          </w:r>
        </w:sdtContent>
      </w:sdt>
      <w:r>
        <w:rPr>
          <w:rFonts w:ascii="Times New Roman" w:eastAsia="Times New Roman" w:hAnsi="Times New Roman" w:cs="Times New Roman"/>
        </w:rPr>
        <w:t>, peningkatan profitabilitas secara langsung berkontribusi terhadap peningkatan nilai perusahaan, yang tercermin dari meningkatnya k</w:t>
      </w:r>
      <w:r>
        <w:rPr>
          <w:rFonts w:ascii="Times New Roman" w:eastAsia="Times New Roman" w:hAnsi="Times New Roman" w:cs="Times New Roman"/>
        </w:rPr>
        <w:t>epercayaan investor dan stabilitas harga saham di pasar modal.</w:t>
      </w:r>
    </w:p>
    <w:p w14:paraId="5E504503" w14:textId="77777777" w:rsidR="00092A4B" w:rsidRDefault="00092A4B" w:rsidP="00B82E85">
      <w:pPr>
        <w:jc w:val="both"/>
        <w:rPr>
          <w:rFonts w:ascii="Times New Roman" w:eastAsia="Times New Roman" w:hAnsi="Times New Roman" w:cs="Times New Roman"/>
        </w:rPr>
      </w:pPr>
    </w:p>
    <w:p w14:paraId="48747635" w14:textId="77777777" w:rsidR="00092A4B" w:rsidRDefault="001B2295" w:rsidP="00B82E85">
      <w:pPr>
        <w:jc w:val="both"/>
        <w:rPr>
          <w:rFonts w:ascii="Times New Roman" w:eastAsia="Times New Roman" w:hAnsi="Times New Roman" w:cs="Times New Roman"/>
        </w:rPr>
      </w:pPr>
      <w:r>
        <w:rPr>
          <w:rFonts w:ascii="Times New Roman" w:eastAsia="Times New Roman" w:hAnsi="Times New Roman" w:cs="Times New Roman"/>
        </w:rPr>
        <w:t>Ha1: Frekuensi komite audit berpengaruh signifikan terhadap nilai perusahaan.</w:t>
      </w:r>
    </w:p>
    <w:p w14:paraId="36E7B23C" w14:textId="77777777" w:rsidR="00092A4B" w:rsidRDefault="00092A4B" w:rsidP="00B82E85">
      <w:pPr>
        <w:jc w:val="both"/>
        <w:rPr>
          <w:rFonts w:ascii="Times New Roman" w:eastAsia="Times New Roman" w:hAnsi="Times New Roman" w:cs="Times New Roman"/>
        </w:rPr>
      </w:pPr>
    </w:p>
    <w:p w14:paraId="71AD7F9C"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Pengaruh Sustainability Report Assurance terhadap Nilai Perusahaan</w:t>
      </w:r>
    </w:p>
    <w:p w14:paraId="75F481E1" w14:textId="2BBFBECF"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Sustainability report merupakan laporan yang m</w:t>
      </w:r>
      <w:r>
        <w:rPr>
          <w:rFonts w:ascii="Times New Roman" w:eastAsia="Times New Roman" w:hAnsi="Times New Roman" w:cs="Times New Roman"/>
        </w:rPr>
        <w:t>engungkapkan kinerja perusahaan tidak hanya dari aspek ekonomi, tetapi juga dari aspek sosial dan lingkungan. Laporan ini menjadi sarana bagi perusahaan untuk menunjukkan tanggung jawabnya terhadap pembangunan berkelanjutan serta dampak operasional perusah</w:t>
      </w:r>
      <w:r>
        <w:rPr>
          <w:rFonts w:ascii="Times New Roman" w:eastAsia="Times New Roman" w:hAnsi="Times New Roman" w:cs="Times New Roman"/>
        </w:rPr>
        <w:t>aan terhadap masyarakat dan lingkungan. Sustainability report assurance merupakan proses verifikasi yang dilakukan oleh pihak independen untuk menilai keandalan informasi keberlanjutan yang disajikan perusahaan. Assurance standards adalah suatu struktur ya</w:t>
      </w:r>
      <w:r>
        <w:rPr>
          <w:rFonts w:ascii="Times New Roman" w:eastAsia="Times New Roman" w:hAnsi="Times New Roman" w:cs="Times New Roman"/>
        </w:rPr>
        <w:t xml:space="preserve">ng diaplikasikan untuk menjamin kepercayaan dan ketepatan laporan keberlanjutan melalui verifikasi oleh pihak ketiga yang tidak terikat </w:t>
      </w:r>
      <w:sdt>
        <w:sdtPr>
          <w:rPr>
            <w:rFonts w:ascii="Times New Roman" w:eastAsia="Times New Roman" w:hAnsi="Times New Roman" w:cs="Times New Roman"/>
            <w:color w:val="000000"/>
          </w:rPr>
          <w:tag w:val="MENDELEY_CITATION_v3_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"/>
          <w:id w:val="-889109306"/>
          <w:placeholder>
            <w:docPart w:val="DefaultPlaceholder_-1854013440"/>
          </w:placeholder>
        </w:sdtPr>
        <w:sdtEndPr/>
        <w:sdtContent>
          <w:r w:rsidR="00163202" w:rsidRPr="00163202">
            <w:rPr>
              <w:rFonts w:ascii="Times New Roman" w:eastAsia="Times New Roman" w:hAnsi="Times New Roman" w:cs="Times New Roman"/>
              <w:color w:val="000000"/>
            </w:rPr>
            <w:t>(Ramadhani, 2025)</w:t>
          </w:r>
        </w:sdtContent>
      </w:sdt>
      <w:r>
        <w:rPr>
          <w:rFonts w:ascii="Times New Roman" w:eastAsia="Times New Roman" w:hAnsi="Times New Roman" w:cs="Times New Roman"/>
        </w:rPr>
        <w:t>. Proses assurance ini bertujuan untuk meningkatkan kredibilitas dan kepercayaan pemangku kepentingan</w:t>
      </w:r>
      <w:r>
        <w:rPr>
          <w:rFonts w:ascii="Times New Roman" w:eastAsia="Times New Roman" w:hAnsi="Times New Roman" w:cs="Times New Roman"/>
        </w:rPr>
        <w:t xml:space="preserve"> terhadap informasi non-keuangan yang diungkapkan perusahaan.</w:t>
      </w:r>
    </w:p>
    <w:p w14:paraId="47536CD9" w14:textId="0130FCB0"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 xml:space="preserve">Menurut penelitian yang dilakukan oleh </w:t>
      </w:r>
      <w:sdt>
        <w:sdtPr>
          <w:rPr>
            <w:rFonts w:ascii="Times New Roman" w:eastAsia="Times New Roman" w:hAnsi="Times New Roman" w:cs="Times New Roman"/>
            <w:color w:val="000000"/>
          </w:rPr>
          <w:tag w:val="MENDELEY_CITATION_v3_eyJjaXRhdGlvbklEIjoiTUVOREVMRVlfQ0lUQVRJT05fYjYzMmY1OGEtNGQwYi00MTMwLTk3ZjUtZWQyZGRmZjIxMmQw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
          <w:id w:val="1204833844"/>
          <w:placeholder>
            <w:docPart w:val="DefaultPlaceholder_-1854013440"/>
          </w:placeholder>
        </w:sdtPr>
        <w:sdtEndPr/>
        <w:sdtContent>
          <w:r w:rsidR="00ED16D1" w:rsidRPr="00ED16D1">
            <w:rPr>
              <w:rFonts w:ascii="Times New Roman" w:eastAsia="Times New Roman" w:hAnsi="Times New Roman" w:cs="Times New Roman"/>
              <w:color w:val="000000"/>
            </w:rPr>
            <w:t>Sìmnett et al., (2009)</w:t>
          </w:r>
        </w:sdtContent>
      </w:sdt>
      <w:r>
        <w:rPr>
          <w:rFonts w:ascii="Times New Roman" w:eastAsia="Times New Roman" w:hAnsi="Times New Roman" w:cs="Times New Roman"/>
        </w:rPr>
        <w:t>, perusahaan yang melakukan assurance terhadap sustainability report cenderung memiliki tingkat transparansi yang lebih tinggi kar</w:t>
      </w:r>
      <w:r>
        <w:rPr>
          <w:rFonts w:ascii="Times New Roman" w:eastAsia="Times New Roman" w:hAnsi="Times New Roman" w:cs="Times New Roman"/>
        </w:rPr>
        <w:t xml:space="preserve">ena informasi keberlanjutan yang disajikan telah melalui proses verifikasi oleh pihak independen. Proses assurance tersebut dapat meningkatkan kredibilitas laporan keberlanjutan serta memberikan keyakinan tambahan kepada para pemangku kepentingan mengenai </w:t>
      </w:r>
      <w:r>
        <w:rPr>
          <w:rFonts w:ascii="Times New Roman" w:eastAsia="Times New Roman" w:hAnsi="Times New Roman" w:cs="Times New Roman"/>
        </w:rPr>
        <w:t>keandalan informasi yang disampaikan perusahaan.</w:t>
      </w:r>
    </w:p>
    <w:p w14:paraId="64C58824" w14:textId="15884091"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 xml:space="preserve">Selaras dengan teori sinyal, usaha inovasi hijau (sustainability report assurance) juga menyampaikan pesan positif yang mampu menggugah minat para investor </w:t>
      </w:r>
      <w:sdt>
        <w:sdtPr>
          <w:rPr>
            <w:rFonts w:ascii="Times New Roman" w:eastAsia="Times New Roman" w:hAnsi="Times New Roman" w:cs="Times New Roman"/>
            <w:color w:val="000000"/>
          </w:rPr>
          <w:tag w:val="MENDELEY_CITATION_v3_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"/>
          <w:id w:val="-356740130"/>
          <w:placeholder>
            <w:docPart w:val="DefaultPlaceholder_-1854013440"/>
          </w:placeholder>
        </w:sdtPr>
        <w:sdtEndPr/>
        <w:sdtContent>
          <w:r w:rsidR="00ED16D1" w:rsidRPr="00ED16D1">
            <w:rPr>
              <w:rFonts w:ascii="Times New Roman" w:eastAsia="Times New Roman" w:hAnsi="Times New Roman" w:cs="Times New Roman"/>
              <w:color w:val="000000"/>
            </w:rPr>
            <w:t>(Anggraini &amp; Arieftiara, 2023)</w:t>
          </w:r>
        </w:sdtContent>
      </w:sdt>
      <w:r>
        <w:rPr>
          <w:rFonts w:ascii="Times New Roman" w:eastAsia="Times New Roman" w:hAnsi="Times New Roman" w:cs="Times New Roman"/>
        </w:rPr>
        <w:t>. Dengan melakukan</w:t>
      </w:r>
      <w:r>
        <w:rPr>
          <w:rFonts w:ascii="Times New Roman" w:eastAsia="Times New Roman" w:hAnsi="Times New Roman" w:cs="Times New Roman"/>
        </w:rPr>
        <w:t xml:space="preserve"> assurance terhadap laporan keberlanjutan, perusahaan menunjukkan komitmennya terhadap transparansi, akuntabilitas, serta praktik bisnis yang berkelanjutan. Sinyal positif ini dapat meningkatkan kepercayaan investor terhadap perusahaan. Dikarenakan adanya </w:t>
      </w:r>
      <w:r>
        <w:rPr>
          <w:rFonts w:ascii="Times New Roman" w:eastAsia="Times New Roman" w:hAnsi="Times New Roman" w:cs="Times New Roman"/>
        </w:rPr>
        <w:t xml:space="preserve">aturan yang ketat, keyakinan investor terhadap pasar saham semakin tumbuh </w:t>
      </w:r>
      <w:sdt>
        <w:sdtPr>
          <w:rPr>
            <w:rFonts w:ascii="Times New Roman" w:eastAsia="Times New Roman" w:hAnsi="Times New Roman" w:cs="Times New Roman"/>
            <w:color w:val="000000"/>
          </w:rPr>
          <w:tag w:val="MENDELEY_CITATION_v3_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"/>
          <w:id w:val="-2015210463"/>
          <w:placeholder>
            <w:docPart w:val="DefaultPlaceholder_-1854013440"/>
          </w:placeholder>
        </w:sdtPr>
        <w:sdtEndPr/>
        <w:sdtContent>
          <w:r w:rsidR="00ED16D1" w:rsidRPr="00ED16D1">
            <w:rPr>
              <w:rFonts w:ascii="Times New Roman" w:eastAsia="Times New Roman" w:hAnsi="Times New Roman" w:cs="Times New Roman"/>
              <w:color w:val="000000"/>
            </w:rPr>
            <w:t>(Purnamasari, 2025)</w:t>
          </w:r>
        </w:sdtContent>
      </w:sdt>
      <w:r>
        <w:rPr>
          <w:rFonts w:ascii="Times New Roman" w:eastAsia="Times New Roman" w:hAnsi="Times New Roman" w:cs="Times New Roman"/>
        </w:rPr>
        <w:t xml:space="preserve">. Kepercayaan investor yang meningkat dapat mendorong peningkatan permintaan terhadap saham perusahaan di pasar modal. Kondisi ini berpotensi meningkatkan harga </w:t>
      </w:r>
      <w:r>
        <w:rPr>
          <w:rFonts w:ascii="Times New Roman" w:eastAsia="Times New Roman" w:hAnsi="Times New Roman" w:cs="Times New Roman"/>
        </w:rPr>
        <w:t xml:space="preserve">saham perusahaan sehingga berdampak pada peningkatan nilai perusahaan. Oleh karena itu, perusahaan yang melakukan sustainability report assurance diharapkan memiliki nilai perusahaan yang lebih tinggi dibandingkan perusahaan yang tidak melakukan assurance </w:t>
      </w:r>
      <w:r>
        <w:rPr>
          <w:rFonts w:ascii="Times New Roman" w:eastAsia="Times New Roman" w:hAnsi="Times New Roman" w:cs="Times New Roman"/>
        </w:rPr>
        <w:t>terhadap laporan keberlanjutan.</w:t>
      </w:r>
    </w:p>
    <w:p w14:paraId="0904C32B" w14:textId="735E9098"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 xml:space="preserve">Berdasarkan uraian tersebut, sustainability report assurance diperkirakan memiliki pengaruh positif terhadap nilai perusahaan karena mampu meningkatkan kredibilitas informasi </w:t>
      </w:r>
      <w:r>
        <w:rPr>
          <w:rFonts w:ascii="Times New Roman" w:eastAsia="Times New Roman" w:hAnsi="Times New Roman" w:cs="Times New Roman"/>
        </w:rPr>
        <w:lastRenderedPageBreak/>
        <w:t>non-keuangan serta memperkuat kepercayaan invest</w:t>
      </w:r>
      <w:r>
        <w:rPr>
          <w:rFonts w:ascii="Times New Roman" w:eastAsia="Times New Roman" w:hAnsi="Times New Roman" w:cs="Times New Roman"/>
        </w:rPr>
        <w:t>or terhadap perusahaan. Penelitian ini berfokus pada perusahaan yang tergabung dalam indeks IDX30 di Bursa Efek Indonesia. Perusahaan yang termasuk dalam indeks ini umumnya memiliki kinerja yang relatif stabil serta menjadi perhatian utama bagi investor di</w:t>
      </w:r>
      <w:r>
        <w:rPr>
          <w:rFonts w:ascii="Times New Roman" w:eastAsia="Times New Roman" w:hAnsi="Times New Roman" w:cs="Times New Roman"/>
        </w:rPr>
        <w:t xml:space="preserve"> pasar modal. Dengan karakteristik tersebut, nilai perusahaan pada perusahaan IDX30 menjadi indikator penting dalam menilai assurance terhadap sustainability report. Menurut </w:t>
      </w:r>
      <w:sdt>
        <w:sdtPr>
          <w:rPr>
            <w:rFonts w:ascii="Times New Roman" w:eastAsia="Times New Roman" w:hAnsi="Times New Roman" w:cs="Times New Roman"/>
            <w:color w:val="000000"/>
          </w:rPr>
          <w:tag w:val="MENDELEY_CITATION_v3_eyJjaXRhdGlvbklEIjoiTUVOREVMRVlfQ0lUQVRJT05fZTliMDZiZWUtZTdhMS00OWFkLTliN2QtZWRjODY1ZmMzZTA5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
          <w:id w:val="-225996958"/>
          <w:placeholder>
            <w:docPart w:val="DefaultPlaceholder_-1854013440"/>
          </w:placeholder>
        </w:sdtPr>
        <w:sdtEndPr/>
        <w:sdtContent>
          <w:r w:rsidR="00ED16D1" w:rsidRPr="00ED16D1">
            <w:rPr>
              <w:rFonts w:ascii="Times New Roman" w:eastAsia="Times New Roman" w:hAnsi="Times New Roman" w:cs="Times New Roman"/>
              <w:color w:val="000000"/>
            </w:rPr>
            <w:t>Manurung et al., (2025)</w:t>
          </w:r>
        </w:sdtContent>
      </w:sdt>
      <w:r>
        <w:rPr>
          <w:rFonts w:ascii="Times New Roman" w:eastAsia="Times New Roman" w:hAnsi="Times New Roman" w:cs="Times New Roman"/>
        </w:rPr>
        <w:t>, sustainability report assurance memiliki dampak positif</w:t>
      </w:r>
      <w:r>
        <w:rPr>
          <w:rFonts w:ascii="Times New Roman" w:eastAsia="Times New Roman" w:hAnsi="Times New Roman" w:cs="Times New Roman"/>
        </w:rPr>
        <w:t xml:space="preserve"> terhadap nilai perusahaan (contohnya dalam sektor eksplorasi mineral), tetapi penelitian lain menunjukkan bahwa dampaknya tidak signifikan atau bahkan nihil (seperti studi yang dilakukan pada perusahaan pertambangan antara tahun 2019 hingga 2021). Sinyal </w:t>
      </w:r>
      <w:r>
        <w:rPr>
          <w:rFonts w:ascii="Times New Roman" w:eastAsia="Times New Roman" w:hAnsi="Times New Roman" w:cs="Times New Roman"/>
        </w:rPr>
        <w:t>positif tersebut dapat meningkatkan reputasi perusahaan serta kepercayaan investor, yang pada akhirnya dapat berdampak pada peningkatan nilai perusahaan.</w:t>
      </w:r>
    </w:p>
    <w:p w14:paraId="16C0064A" w14:textId="77777777" w:rsidR="00092A4B" w:rsidRDefault="00092A4B" w:rsidP="00B82E85">
      <w:pPr>
        <w:jc w:val="both"/>
        <w:rPr>
          <w:rFonts w:ascii="Times New Roman" w:eastAsia="Times New Roman" w:hAnsi="Times New Roman" w:cs="Times New Roman"/>
        </w:rPr>
      </w:pPr>
    </w:p>
    <w:p w14:paraId="5FBE0B2A" w14:textId="77777777" w:rsidR="00092A4B" w:rsidRDefault="001B2295" w:rsidP="00B82E85">
      <w:pPr>
        <w:jc w:val="both"/>
        <w:rPr>
          <w:rFonts w:ascii="Times New Roman" w:eastAsia="Times New Roman" w:hAnsi="Times New Roman" w:cs="Times New Roman"/>
        </w:rPr>
      </w:pPr>
      <w:r>
        <w:rPr>
          <w:rFonts w:ascii="Times New Roman" w:eastAsia="Times New Roman" w:hAnsi="Times New Roman" w:cs="Times New Roman"/>
        </w:rPr>
        <w:t>Ha2: Sustainability report assurance berpengaruh signifikan terhadap nilai perusahaan.</w:t>
      </w:r>
    </w:p>
    <w:p w14:paraId="18BF32A3" w14:textId="77777777" w:rsidR="00092A4B" w:rsidRDefault="00092A4B" w:rsidP="00B82E85">
      <w:pPr>
        <w:jc w:val="both"/>
        <w:rPr>
          <w:rFonts w:ascii="Times New Roman" w:eastAsia="Times New Roman" w:hAnsi="Times New Roman" w:cs="Times New Roman"/>
        </w:rPr>
      </w:pPr>
    </w:p>
    <w:p w14:paraId="7A064BA9" w14:textId="77777777" w:rsidR="00092A4B" w:rsidRDefault="001B2295" w:rsidP="00B82E85">
      <w:pPr>
        <w:spacing w:before="120" w:after="120"/>
        <w:jc w:val="both"/>
        <w:rPr>
          <w:rFonts w:ascii="Times New Roman" w:eastAsia="Times New Roman" w:hAnsi="Times New Roman" w:cs="Times New Roman"/>
        </w:rPr>
      </w:pPr>
      <w:r>
        <w:rPr>
          <w:noProof/>
          <w:lang w:val="en-US" w:eastAsia="en-US"/>
        </w:rPr>
        <w:drawing>
          <wp:anchor distT="0" distB="0" distL="0" distR="0" simplePos="0" relativeHeight="251658240" behindDoc="1" locked="0" layoutInCell="1" hidden="0" allowOverlap="1" wp14:anchorId="6FB915A9" wp14:editId="2A80F38D">
            <wp:simplePos x="0" y="0"/>
            <wp:positionH relativeFrom="column">
              <wp:posOffset>0</wp:posOffset>
            </wp:positionH>
            <wp:positionV relativeFrom="paragraph">
              <wp:posOffset>0</wp:posOffset>
            </wp:positionV>
            <wp:extent cx="5759450" cy="221361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59450" cy="2213610"/>
                    </a:xfrm>
                    <a:prstGeom prst="rect">
                      <a:avLst/>
                    </a:prstGeom>
                    <a:ln/>
                  </pic:spPr>
                </pic:pic>
              </a:graphicData>
            </a:graphic>
          </wp:anchor>
        </w:drawing>
      </w:r>
    </w:p>
    <w:p w14:paraId="5E91984A" w14:textId="77777777" w:rsidR="00092A4B" w:rsidRDefault="00092A4B" w:rsidP="00B82E85">
      <w:pPr>
        <w:spacing w:before="120" w:after="120"/>
        <w:jc w:val="both"/>
        <w:rPr>
          <w:rFonts w:ascii="Times New Roman" w:eastAsia="Times New Roman" w:hAnsi="Times New Roman" w:cs="Times New Roman"/>
          <w:b/>
          <w:bCs/>
        </w:rPr>
      </w:pPr>
    </w:p>
    <w:p w14:paraId="128C3F81" w14:textId="77777777" w:rsidR="00092A4B" w:rsidRDefault="00092A4B" w:rsidP="00B82E85">
      <w:pPr>
        <w:spacing w:before="120" w:after="120"/>
        <w:jc w:val="both"/>
        <w:rPr>
          <w:rFonts w:ascii="Times New Roman" w:eastAsia="Times New Roman" w:hAnsi="Times New Roman" w:cs="Times New Roman"/>
          <w:b/>
          <w:bCs/>
        </w:rPr>
      </w:pPr>
    </w:p>
    <w:p w14:paraId="296CEB91" w14:textId="77777777" w:rsidR="00092A4B" w:rsidRDefault="00092A4B" w:rsidP="00B82E85">
      <w:pPr>
        <w:spacing w:before="120" w:after="120"/>
        <w:jc w:val="both"/>
        <w:rPr>
          <w:rFonts w:ascii="Times New Roman" w:eastAsia="Times New Roman" w:hAnsi="Times New Roman" w:cs="Times New Roman"/>
          <w:b/>
          <w:bCs/>
        </w:rPr>
      </w:pPr>
    </w:p>
    <w:p w14:paraId="5295D9E3" w14:textId="77777777" w:rsidR="00092A4B" w:rsidRDefault="00092A4B" w:rsidP="00B82E85">
      <w:pPr>
        <w:spacing w:before="120" w:after="120"/>
        <w:jc w:val="both"/>
        <w:rPr>
          <w:rFonts w:ascii="Times New Roman" w:eastAsia="Times New Roman" w:hAnsi="Times New Roman" w:cs="Times New Roman"/>
          <w:b/>
          <w:bCs/>
        </w:rPr>
      </w:pPr>
    </w:p>
    <w:p w14:paraId="59D4CCDA" w14:textId="77777777" w:rsidR="00092A4B" w:rsidRDefault="00092A4B" w:rsidP="00B82E85">
      <w:pPr>
        <w:spacing w:before="120" w:after="120"/>
        <w:jc w:val="both"/>
        <w:rPr>
          <w:rFonts w:ascii="Times New Roman" w:eastAsia="Times New Roman" w:hAnsi="Times New Roman" w:cs="Times New Roman"/>
          <w:b/>
          <w:bCs/>
        </w:rPr>
      </w:pPr>
    </w:p>
    <w:p w14:paraId="53C3BCE8" w14:textId="77777777" w:rsidR="00092A4B" w:rsidRDefault="00092A4B" w:rsidP="00B82E85">
      <w:pPr>
        <w:spacing w:before="120" w:after="120"/>
        <w:jc w:val="both"/>
        <w:rPr>
          <w:rFonts w:ascii="Times New Roman" w:eastAsia="Times New Roman" w:hAnsi="Times New Roman" w:cs="Times New Roman"/>
          <w:b/>
          <w:bCs/>
        </w:rPr>
      </w:pPr>
    </w:p>
    <w:p w14:paraId="1732F7D6" w14:textId="77777777" w:rsidR="00092A4B" w:rsidRDefault="00092A4B" w:rsidP="00B82E85">
      <w:pPr>
        <w:spacing w:before="120" w:after="120"/>
        <w:jc w:val="both"/>
        <w:rPr>
          <w:rFonts w:ascii="Times New Roman" w:eastAsia="Times New Roman" w:hAnsi="Times New Roman" w:cs="Times New Roman"/>
          <w:b/>
          <w:bCs/>
        </w:rPr>
      </w:pPr>
    </w:p>
    <w:p w14:paraId="195A8145" w14:textId="77777777" w:rsidR="00092A4B" w:rsidRDefault="00092A4B" w:rsidP="00B82E85">
      <w:pPr>
        <w:spacing w:before="120" w:after="120"/>
        <w:jc w:val="both"/>
        <w:rPr>
          <w:rFonts w:ascii="Times New Roman" w:eastAsia="Times New Roman" w:hAnsi="Times New Roman" w:cs="Times New Roman"/>
          <w:b/>
          <w:bCs/>
        </w:rPr>
      </w:pPr>
    </w:p>
    <w:p w14:paraId="401DF435"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MET</w:t>
      </w:r>
      <w:r>
        <w:rPr>
          <w:rFonts w:ascii="Times New Roman" w:eastAsia="Times New Roman" w:hAnsi="Times New Roman" w:cs="Times New Roman"/>
          <w:b/>
          <w:bCs/>
        </w:rPr>
        <w:t>ODE PENELITIAN</w:t>
      </w:r>
    </w:p>
    <w:p w14:paraId="0571DF89" w14:textId="3E1C979E"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Penelitian ini menerapkan metode kuantitatif dengan pendekatan penelitian yang bersifat asosiatif. Metode kuantitatif dipilih karena penelitian ini bertujuan untuk menguji keterkaitan antara variabel yang bisa diukur dengan angka dan dianali</w:t>
      </w:r>
      <w:r>
        <w:rPr>
          <w:rFonts w:ascii="Times New Roman" w:eastAsia="Times New Roman" w:hAnsi="Times New Roman" w:cs="Times New Roman"/>
        </w:rPr>
        <w:t xml:space="preserve">sis melalui teknik statistik. Menurut </w:t>
      </w:r>
      <w:sdt>
        <w:sdtPr>
          <w:rPr>
            <w:rFonts w:ascii="Times New Roman" w:eastAsia="Times New Roman" w:hAnsi="Times New Roman" w:cs="Times New Roman"/>
            <w:color w:val="000000"/>
          </w:rPr>
          <w:tag w:val="MENDELEY_CITATION_v3_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"/>
          <w:id w:val="-204566664"/>
          <w:placeholder>
            <w:docPart w:val="DefaultPlaceholder_-1854013440"/>
          </w:placeholder>
        </w:sdtPr>
        <w:sdtEndPr/>
        <w:sdtContent>
          <w:r w:rsidR="00ED16D1" w:rsidRPr="00ED16D1">
            <w:rPr>
              <w:rFonts w:ascii="Times New Roman" w:eastAsia="Times New Roman" w:hAnsi="Times New Roman" w:cs="Times New Roman"/>
              <w:color w:val="000000"/>
            </w:rPr>
            <w:t>Sugiyono, (2013)</w:t>
          </w:r>
        </w:sdtContent>
      </w:sdt>
      <w:r>
        <w:rPr>
          <w:rFonts w:ascii="Times New Roman" w:eastAsia="Times New Roman" w:hAnsi="Times New Roman" w:cs="Times New Roman"/>
        </w:rPr>
        <w:t xml:space="preserve">, metode penelitian kuantitatif adalah cara penelitian yang berdasarkan pada pemikiran positivisme, digunakan untuk mempelajari populasi atau sampel tertentu dengan cara mengumpulkan data menggunakan </w:t>
      </w:r>
      <w:r>
        <w:rPr>
          <w:rFonts w:ascii="Times New Roman" w:eastAsia="Times New Roman" w:hAnsi="Times New Roman" w:cs="Times New Roman"/>
        </w:rPr>
        <w:t>alat penelitian dan menganalisis data secara statistik dengan tujuan menguji hipotesis yang sudah ditentukan. Jenis penelitian yang diterapkan adalah penelitian asosiatif, yang bertujuan untuk memahami hubungan atau dampak antara dua variabel atau lebih. P</w:t>
      </w:r>
      <w:r>
        <w:rPr>
          <w:rFonts w:ascii="Times New Roman" w:eastAsia="Times New Roman" w:hAnsi="Times New Roman" w:cs="Times New Roman"/>
        </w:rPr>
        <w:t xml:space="preserve">enelitian ini meneliti dampak dari frekuensi rapat komite audit dan sustainability report assurance terhadap nilai perusahaan di perusahaan-perusahaan yang termasuk dalam indeks IDX30. Menurut </w:t>
      </w:r>
      <w:sdt>
        <w:sdtPr>
          <w:rPr>
            <w:rFonts w:ascii="Times New Roman" w:eastAsia="Times New Roman" w:hAnsi="Times New Roman" w:cs="Times New Roman"/>
            <w:color w:val="000000"/>
          </w:rPr>
          <w:tag w:val="MENDELEY_CITATION_v3_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"/>
          <w:id w:val="1048101579"/>
          <w:placeholder>
            <w:docPart w:val="DefaultPlaceholder_-1854013440"/>
          </w:placeholder>
        </w:sdtPr>
        <w:sdtEndPr/>
        <w:sdtContent>
          <w:r w:rsidR="00ED16D1" w:rsidRPr="00ED16D1">
            <w:rPr>
              <w:rFonts w:ascii="Times New Roman" w:eastAsia="Times New Roman" w:hAnsi="Times New Roman" w:cs="Times New Roman"/>
              <w:color w:val="000000"/>
            </w:rPr>
            <w:t>Sugiyono, (2013)</w:t>
          </w:r>
        </w:sdtContent>
      </w:sdt>
      <w:r>
        <w:rPr>
          <w:rFonts w:ascii="Times New Roman" w:eastAsia="Times New Roman" w:hAnsi="Times New Roman" w:cs="Times New Roman"/>
        </w:rPr>
        <w:t>, penelitian asosiatif adalah jenis penelitia</w:t>
      </w:r>
      <w:r>
        <w:rPr>
          <w:rFonts w:ascii="Times New Roman" w:eastAsia="Times New Roman" w:hAnsi="Times New Roman" w:cs="Times New Roman"/>
        </w:rPr>
        <w:t>n yang bertujuan untuk memahami koneksi antara dua atau lebih variabel, dengan tujuan untuk menjelaskan dampak setiap variabel dalam sebuah fenomena yang diteliti.</w:t>
      </w:r>
    </w:p>
    <w:p w14:paraId="7C994B94" w14:textId="0E348E1B" w:rsidR="00092A4B" w:rsidRDefault="001B2295" w:rsidP="00B82E85">
      <w:pPr>
        <w:ind w:firstLine="709"/>
        <w:jc w:val="both"/>
        <w:rPr>
          <w:rFonts w:ascii="Times New Roman" w:eastAsia="Times New Roman" w:hAnsi="Times New Roman" w:cs="Times New Roman"/>
        </w:rPr>
      </w:pPr>
      <w:r>
        <w:rPr>
          <w:rFonts w:ascii="Times New Roman" w:eastAsia="Times New Roman" w:hAnsi="Times New Roman" w:cs="Times New Roman"/>
        </w:rPr>
        <w:t>Setiap tahun, Bursa Efek Indonesia membuat indeks IDX30 dengan menilai semua saham, mulai d</w:t>
      </w:r>
      <w:r>
        <w:rPr>
          <w:rFonts w:ascii="Times New Roman" w:eastAsia="Times New Roman" w:hAnsi="Times New Roman" w:cs="Times New Roman"/>
        </w:rPr>
        <w:t>ari bulan Februari sampai Agustus. Perhitungan IDX30 menggunakan metode penimbangan yang didasarkan pada rata-rata tertimbang berdasarkan kapitalisasi pasar. Berikut ini beberapa kriteria saham yang bisa dianggap layak untuk masuk ke dalam indeks saham IDX</w:t>
      </w:r>
      <w:r>
        <w:rPr>
          <w:rFonts w:ascii="Times New Roman" w:eastAsia="Times New Roman" w:hAnsi="Times New Roman" w:cs="Times New Roman"/>
        </w:rPr>
        <w:t xml:space="preserve">30. Saham-saham yang ingin masuk ke dalam IDX30 akan dilihat secara rinci berdasarkan kondisi </w:t>
      </w:r>
      <w:r>
        <w:rPr>
          <w:rFonts w:ascii="Times New Roman" w:eastAsia="Times New Roman" w:hAnsi="Times New Roman" w:cs="Times New Roman"/>
        </w:rPr>
        <w:lastRenderedPageBreak/>
        <w:t>keuangan perusahaan, kemungkinan pertumbuhan di masa depan, serta faktor-faktor lain yang bisa membantu perusahaan tetap bertahan dan berkembang. Kriteria kuantit</w:t>
      </w:r>
      <w:r>
        <w:rPr>
          <w:rFonts w:ascii="Times New Roman" w:eastAsia="Times New Roman" w:hAnsi="Times New Roman" w:cs="Times New Roman"/>
        </w:rPr>
        <w:t>atif berikutnya, saham-saham tersebut juga akan dianalisis berdasarkan nilai transaksi, frekuensi transaksi, jumlah hari transaksi, serta kapitalisasi pasar perusahaan tersebut. Populasi dalam penelitian ini mencakup semua perusahaan yang tercantum dalam i</w:t>
      </w:r>
      <w:r>
        <w:rPr>
          <w:rFonts w:ascii="Times New Roman" w:eastAsia="Times New Roman" w:hAnsi="Times New Roman" w:cs="Times New Roman"/>
        </w:rPr>
        <w:t>ndeks IDX30 yang terdaftar di Bursa Efek Indonesia pada masa penelitian. Populasi adalah area yang dapat digeneralisasikan yang terdiri dari obyek atau subyek dengan sifat-sifat tertentu yang ditentukan oleh peneliti untuk dianalisis dan kemudian diambil k</w:t>
      </w:r>
      <w:r>
        <w:rPr>
          <w:rFonts w:ascii="Times New Roman" w:eastAsia="Times New Roman" w:hAnsi="Times New Roman" w:cs="Times New Roman"/>
        </w:rPr>
        <w:t xml:space="preserve">esimpulan. Menurut </w:t>
      </w:r>
      <w:sdt>
        <w:sdtPr>
          <w:rPr>
            <w:rFonts w:ascii="Times New Roman" w:eastAsia="Times New Roman" w:hAnsi="Times New Roman" w:cs="Times New Roman"/>
            <w:color w:val="000000"/>
          </w:rPr>
          <w:tag w:val="MENDELEY_CITATION_v3_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"/>
          <w:id w:val="-1901666816"/>
          <w:placeholder>
            <w:docPart w:val="DefaultPlaceholder_-1854013440"/>
          </w:placeholder>
        </w:sdtPr>
        <w:sdtEndPr/>
        <w:sdtContent>
          <w:r w:rsidR="00ED16D1" w:rsidRPr="00ED16D1">
            <w:rPr>
              <w:rFonts w:ascii="Times New Roman" w:eastAsia="Times New Roman" w:hAnsi="Times New Roman" w:cs="Times New Roman"/>
              <w:color w:val="000000"/>
            </w:rPr>
            <w:t>Sugiyono, (2013)</w:t>
          </w:r>
        </w:sdtContent>
      </w:sdt>
      <w:r>
        <w:rPr>
          <w:rFonts w:ascii="Times New Roman" w:eastAsia="Times New Roman" w:hAnsi="Times New Roman" w:cs="Times New Roman"/>
        </w:rPr>
        <w:t>, populasi merupakan area umum yang terdiri dari obyek atau subyek yang memiliki ciri dan sifat khusus yang ditentukan oleh peneliti untuk dianalisis dan kemudian diambil kesimpulannya. Sampel dalam studi ini diambil de</w:t>
      </w:r>
      <w:r>
        <w:rPr>
          <w:rFonts w:ascii="Times New Roman" w:eastAsia="Times New Roman" w:hAnsi="Times New Roman" w:cs="Times New Roman"/>
        </w:rPr>
        <w:t xml:space="preserve">ngan cara purposive sampling, yakni metode pemilihan sampel yang berdasar pada pertimbangan atau kriteria tertentu yang relevan dengan tujuan dari penelitian. Kriteria untuk sampel ini mencakup perusahaan yang selalu terdaftar dalam indeks IDX30 sepanjang </w:t>
      </w:r>
      <w:r>
        <w:rPr>
          <w:rFonts w:ascii="Times New Roman" w:eastAsia="Times New Roman" w:hAnsi="Times New Roman" w:cs="Times New Roman"/>
        </w:rPr>
        <w:t>periode penelitian dan memiliki laporan tahunan yang dibutuhkan dalam penelitian ini. Dengan menggunakan kriteria tersebut, didapatkan 23 data observasi perusahaan yang akan digunakan sebagai sampel dalam penelitian ini, sehingga jumlah data sampel penelit</w:t>
      </w:r>
      <w:r>
        <w:rPr>
          <w:rFonts w:ascii="Times New Roman" w:eastAsia="Times New Roman" w:hAnsi="Times New Roman" w:cs="Times New Roman"/>
        </w:rPr>
        <w:t>ian ini adalah 69 perusahaan. Penelitian ini memanfaatkan informasi sekunder yang diambil dari laporan tahunan dan laporan keberlanjutan yang diterbitkan oleh perusahaan serta sumber resmi lain yang berkaitan. Penelitian ini memakai jangka waktu pengamatan</w:t>
      </w:r>
      <w:r>
        <w:rPr>
          <w:rFonts w:ascii="Times New Roman" w:eastAsia="Times New Roman" w:hAnsi="Times New Roman" w:cs="Times New Roman"/>
        </w:rPr>
        <w:t xml:space="preserve"> dari tahun 2022 sampai 2024.</w:t>
      </w:r>
    </w:p>
    <w:p w14:paraId="1FF5718A" w14:textId="77777777" w:rsidR="00092A4B" w:rsidRDefault="00092A4B" w:rsidP="00B82E85">
      <w:pPr>
        <w:jc w:val="both"/>
        <w:rPr>
          <w:rFonts w:ascii="Times New Roman" w:eastAsia="Times New Roman" w:hAnsi="Times New Roman" w:cs="Times New Roman"/>
        </w:rPr>
      </w:pPr>
    </w:p>
    <w:tbl>
      <w:tblPr>
        <w:tblStyle w:val="a0"/>
        <w:tblW w:w="9046" w:type="dxa"/>
        <w:tblInd w:w="0" w:type="dxa"/>
        <w:tblBorders>
          <w:top w:val="single" w:sz="4" w:space="0" w:color="000000"/>
          <w:bottom w:val="single" w:sz="4" w:space="0" w:color="000000"/>
        </w:tblBorders>
        <w:tblLayout w:type="fixed"/>
        <w:tblLook w:val="04A0" w:firstRow="1" w:lastRow="0" w:firstColumn="1" w:lastColumn="0" w:noHBand="0" w:noVBand="1"/>
      </w:tblPr>
      <w:tblGrid>
        <w:gridCol w:w="510"/>
        <w:gridCol w:w="2374"/>
        <w:gridCol w:w="4678"/>
        <w:gridCol w:w="1484"/>
      </w:tblGrid>
      <w:tr w:rsidR="00092A4B" w14:paraId="7885E7E3" w14:textId="77777777" w:rsidTr="00092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6118FE1" w14:textId="77777777" w:rsidR="00092A4B" w:rsidRDefault="001B2295" w:rsidP="00B82E8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374" w:type="dxa"/>
            <w:shd w:val="clear" w:color="auto" w:fill="auto"/>
          </w:tcPr>
          <w:p w14:paraId="0AC96EED"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Variabel</w:t>
            </w:r>
          </w:p>
        </w:tc>
        <w:tc>
          <w:tcPr>
            <w:tcW w:w="4678" w:type="dxa"/>
            <w:shd w:val="clear" w:color="auto" w:fill="auto"/>
          </w:tcPr>
          <w:p w14:paraId="6CB138CF"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w:t>
            </w:r>
          </w:p>
        </w:tc>
        <w:tc>
          <w:tcPr>
            <w:tcW w:w="1484" w:type="dxa"/>
            <w:shd w:val="clear" w:color="auto" w:fill="auto"/>
          </w:tcPr>
          <w:p w14:paraId="65DD5EAC"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Pengukuran</w:t>
            </w:r>
          </w:p>
        </w:tc>
      </w:tr>
      <w:tr w:rsidR="00092A4B" w14:paraId="40B7CA49" w14:textId="77777777" w:rsidTr="00092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441DF5E3" w14:textId="77777777" w:rsidR="00092A4B" w:rsidRDefault="001B2295" w:rsidP="00B82E85">
            <w:pPr>
              <w:jc w:val="center"/>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1</w:t>
            </w:r>
          </w:p>
        </w:tc>
        <w:tc>
          <w:tcPr>
            <w:tcW w:w="2374" w:type="dxa"/>
            <w:shd w:val="clear" w:color="auto" w:fill="auto"/>
          </w:tcPr>
          <w:p w14:paraId="4C6EDA35" w14:textId="77777777" w:rsidR="00092A4B" w:rsidRDefault="001B2295" w:rsidP="00B82E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Terikat (Y) </w:t>
            </w:r>
          </w:p>
          <w:p w14:paraId="53B60DCD" w14:textId="77777777" w:rsidR="00092A4B" w:rsidRDefault="001B2295" w:rsidP="00B82E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Nilai perusahaan</w:t>
            </w:r>
          </w:p>
        </w:tc>
        <w:tc>
          <w:tcPr>
            <w:tcW w:w="4678" w:type="dxa"/>
            <w:shd w:val="clear" w:color="auto" w:fill="auto"/>
          </w:tcPr>
          <w:p w14:paraId="0A3C568E" w14:textId="77777777" w:rsidR="00092A4B" w:rsidRDefault="001B2295" w:rsidP="00B82E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PBV = Harga Saham per Lembar Saham / Nilai Buku per Lembar Saham</w:t>
            </w:r>
          </w:p>
        </w:tc>
        <w:tc>
          <w:tcPr>
            <w:tcW w:w="1484" w:type="dxa"/>
            <w:shd w:val="clear" w:color="auto" w:fill="auto"/>
            <w:vAlign w:val="center"/>
          </w:tcPr>
          <w:p w14:paraId="47D13A56" w14:textId="77777777" w:rsidR="00092A4B" w:rsidRDefault="001B2295" w:rsidP="00B82E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Rasio</w:t>
            </w:r>
          </w:p>
        </w:tc>
      </w:tr>
      <w:tr w:rsidR="00092A4B" w14:paraId="62C04769" w14:textId="77777777" w:rsidTr="00092A4B">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65D83293" w14:textId="77777777" w:rsidR="00092A4B" w:rsidRDefault="001B2295" w:rsidP="00B82E85">
            <w:pPr>
              <w:jc w:val="center"/>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2</w:t>
            </w:r>
          </w:p>
        </w:tc>
        <w:tc>
          <w:tcPr>
            <w:tcW w:w="2374" w:type="dxa"/>
            <w:shd w:val="clear" w:color="auto" w:fill="auto"/>
          </w:tcPr>
          <w:p w14:paraId="32192C5C" w14:textId="77777777" w:rsidR="00092A4B" w:rsidRDefault="001B2295" w:rsidP="00B82E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Bebas (X1) </w:t>
            </w:r>
          </w:p>
          <w:p w14:paraId="0AC7A209" w14:textId="77777777" w:rsidR="00092A4B" w:rsidRDefault="001B2295" w:rsidP="00B82E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Frekuensi Komite Audit</w:t>
            </w:r>
          </w:p>
        </w:tc>
        <w:tc>
          <w:tcPr>
            <w:tcW w:w="4678" w:type="dxa"/>
            <w:shd w:val="clear" w:color="auto" w:fill="auto"/>
            <w:vAlign w:val="center"/>
          </w:tcPr>
          <w:p w14:paraId="279FFA3A" w14:textId="77777777" w:rsidR="00092A4B" w:rsidRDefault="001B2295" w:rsidP="00B82E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Jumlah rapat komite audit yang dilaporkan</w:t>
            </w:r>
          </w:p>
        </w:tc>
        <w:tc>
          <w:tcPr>
            <w:tcW w:w="1484" w:type="dxa"/>
            <w:shd w:val="clear" w:color="auto" w:fill="auto"/>
            <w:vAlign w:val="center"/>
          </w:tcPr>
          <w:p w14:paraId="3F4F5D6F" w14:textId="77777777" w:rsidR="00092A4B" w:rsidRDefault="001B2295" w:rsidP="00B82E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Rasio</w:t>
            </w:r>
          </w:p>
        </w:tc>
      </w:tr>
      <w:tr w:rsidR="00092A4B" w14:paraId="5C0C6DFB" w14:textId="77777777" w:rsidTr="00092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05806A0E" w14:textId="77777777" w:rsidR="00092A4B" w:rsidRDefault="001B2295" w:rsidP="00B82E85">
            <w:pPr>
              <w:jc w:val="center"/>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3</w:t>
            </w:r>
          </w:p>
        </w:tc>
        <w:tc>
          <w:tcPr>
            <w:tcW w:w="2374" w:type="dxa"/>
            <w:shd w:val="clear" w:color="auto" w:fill="auto"/>
          </w:tcPr>
          <w:p w14:paraId="2A714592" w14:textId="77777777" w:rsidR="00092A4B" w:rsidRDefault="001B2295" w:rsidP="00B82E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Bebas (X2) </w:t>
            </w:r>
          </w:p>
          <w:p w14:paraId="5686CB81" w14:textId="77777777" w:rsidR="00092A4B" w:rsidRDefault="001B2295" w:rsidP="00B82E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Sustainability Report Assurance</w:t>
            </w:r>
          </w:p>
        </w:tc>
        <w:tc>
          <w:tcPr>
            <w:tcW w:w="4678" w:type="dxa"/>
            <w:shd w:val="clear" w:color="auto" w:fill="auto"/>
            <w:vAlign w:val="center"/>
          </w:tcPr>
          <w:p w14:paraId="0C39E90F" w14:textId="77777777" w:rsidR="00092A4B" w:rsidRDefault="001B2295" w:rsidP="00B82E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Jumlah yang diungkapkan berdasarkan standar GRI / Jumlah standar GRI</w:t>
            </w:r>
          </w:p>
        </w:tc>
        <w:tc>
          <w:tcPr>
            <w:tcW w:w="1484" w:type="dxa"/>
            <w:shd w:val="clear" w:color="auto" w:fill="auto"/>
            <w:vAlign w:val="center"/>
          </w:tcPr>
          <w:p w14:paraId="24AEAC15" w14:textId="77777777" w:rsidR="00092A4B" w:rsidRDefault="001B2295" w:rsidP="00B82E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Rasio</w:t>
            </w:r>
          </w:p>
        </w:tc>
      </w:tr>
    </w:tbl>
    <w:p w14:paraId="63E4138B" w14:textId="77777777" w:rsidR="00092A4B" w:rsidRDefault="001B2295" w:rsidP="00B82E85">
      <w:pPr>
        <w:spacing w:before="120" w:after="120"/>
        <w:jc w:val="center"/>
        <w:rPr>
          <w:rFonts w:ascii="Times New Roman" w:eastAsia="Times New Roman" w:hAnsi="Times New Roman" w:cs="Times New Roman"/>
          <w:b/>
          <w:bCs/>
        </w:rPr>
      </w:pPr>
      <w:r>
        <w:rPr>
          <w:rFonts w:ascii="Times New Roman" w:eastAsia="Times New Roman" w:hAnsi="Times New Roman" w:cs="Times New Roman"/>
          <w:b/>
          <w:bCs/>
        </w:rPr>
        <w:t>Tabel 1. Variabel Operasional dan Pengukurannya</w:t>
      </w:r>
    </w:p>
    <w:p w14:paraId="3FCEA1C6" w14:textId="77777777" w:rsidR="00092A4B" w:rsidRDefault="001B2295" w:rsidP="00B82E85">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HASIL DAN PEMBAHASAN</w:t>
      </w:r>
    </w:p>
    <w:p w14:paraId="75210071"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Deskripsi Statistik</w:t>
      </w:r>
    </w:p>
    <w:p w14:paraId="0E1AF540" w14:textId="77777777"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Perusahaan yang terindeks IDX30 terdiri dari</w:t>
      </w:r>
      <w:r>
        <w:rPr>
          <w:rFonts w:ascii="Times New Roman" w:eastAsia="Times New Roman" w:hAnsi="Times New Roman" w:cs="Times New Roman"/>
        </w:rPr>
        <w:t xml:space="preserve"> 30 perusahaan yang tidak konsisten pada tiap periode penelitian. Perusahaan yang konsisten terindeks IDX30 dan melaksanakan sutainability report assurance terdapat 23 perusahaan sepanjang periode penelitian, sehingga mendapatkan 69 data sampel penelitian.</w:t>
      </w:r>
      <w:r>
        <w:rPr>
          <w:rFonts w:ascii="Times New Roman" w:eastAsia="Times New Roman" w:hAnsi="Times New Roman" w:cs="Times New Roman"/>
        </w:rPr>
        <w:t xml:space="preserve"> Adapun perusahaan yang konsisten terindeks IDX30 sepanjang periode penelitian adalah perusahaan dengan kode ADRO, ANTM, ARTO, ASII, BBCA, BBNI, BBRI, BMRI, BRPT, BUKA, CPIN, GOTO, INCO, INDF, ITMG, KLBF, MDKA, PGAS, PTBA, SMGR, TLKM, UNTR, dan UNVR. Berik</w:t>
      </w:r>
      <w:r>
        <w:rPr>
          <w:rFonts w:ascii="Times New Roman" w:eastAsia="Times New Roman" w:hAnsi="Times New Roman" w:cs="Times New Roman"/>
        </w:rPr>
        <w:t>ut ini adalah gambaran umum tentang frekuensi komite audit (FKI) yang dilaksanakan sepanjang tahun, implementasi sustainability report assurance (GRI) dan nilai persahaan (PBV) sepanjang periode 2022 – 2024.</w:t>
      </w:r>
    </w:p>
    <w:p w14:paraId="08205B09" w14:textId="77777777"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Berdasarkan hasil pengumpulan data penelitian y</w:t>
      </w:r>
      <w:r>
        <w:rPr>
          <w:rFonts w:ascii="Times New Roman" w:eastAsia="Times New Roman" w:hAnsi="Times New Roman" w:cs="Times New Roman"/>
        </w:rPr>
        <w:t>ang kemudian dirangkum dalam tabel 1 di bawah ini menunjukkan bahwa perusahaan yang terindeks IDX30 mengadakan rapat komite audit rata-rata sebanyak lebih dari 15 kali dalam setahun. Perusahaan yang mengadakan komite audit lebih dari 15 kali setahun adalah</w:t>
      </w:r>
      <w:r>
        <w:rPr>
          <w:rFonts w:ascii="Times New Roman" w:eastAsia="Times New Roman" w:hAnsi="Times New Roman" w:cs="Times New Roman"/>
        </w:rPr>
        <w:t xml:space="preserve"> perusahaan dengan kode perusahaan ANTM, BBCA, BBNI, BBRI, BMRI, CPIN, PGAS, PTBA, SMGR, TLKM.</w:t>
      </w:r>
    </w:p>
    <w:p w14:paraId="5C5129FB" w14:textId="77777777" w:rsidR="00092A4B" w:rsidRDefault="00092A4B" w:rsidP="00B82E85">
      <w:pPr>
        <w:spacing w:after="120"/>
        <w:ind w:firstLine="709"/>
      </w:pPr>
    </w:p>
    <w:p w14:paraId="30C4677D" w14:textId="77777777" w:rsidR="00092A4B" w:rsidRDefault="001B2295" w:rsidP="00B82E85">
      <w:pPr>
        <w:spacing w:after="120"/>
        <w:jc w:val="center"/>
        <w:rPr>
          <w:rFonts w:ascii="Times New Roman" w:eastAsia="Times New Roman" w:hAnsi="Times New Roman" w:cs="Times New Roman"/>
        </w:rPr>
      </w:pPr>
      <w:r>
        <w:rPr>
          <w:rFonts w:ascii="Times New Roman" w:eastAsia="Times New Roman" w:hAnsi="Times New Roman" w:cs="Times New Roman"/>
          <w:b/>
          <w:bCs/>
        </w:rPr>
        <w:t>Tabel 1.</w:t>
      </w:r>
      <w:r>
        <w:rPr>
          <w:rFonts w:ascii="Times New Roman" w:eastAsia="Times New Roman" w:hAnsi="Times New Roman" w:cs="Times New Roman"/>
        </w:rPr>
        <w:t xml:space="preserve"> Deskripsi FKI, GRI dan PBV</w:t>
      </w:r>
    </w:p>
    <w:tbl>
      <w:tblPr>
        <w:tblStyle w:val="a1"/>
        <w:tblW w:w="4084" w:type="dxa"/>
        <w:jc w:val="center"/>
        <w:tblInd w:w="0" w:type="dxa"/>
        <w:tblLayout w:type="fixed"/>
        <w:tblLook w:val="0400" w:firstRow="0" w:lastRow="0" w:firstColumn="0" w:lastColumn="0" w:noHBand="0" w:noVBand="1"/>
      </w:tblPr>
      <w:tblGrid>
        <w:gridCol w:w="1096"/>
        <w:gridCol w:w="996"/>
        <w:gridCol w:w="996"/>
        <w:gridCol w:w="996"/>
      </w:tblGrid>
      <w:tr w:rsidR="00092A4B" w14:paraId="6A785F06" w14:textId="77777777">
        <w:trPr>
          <w:trHeight w:val="255"/>
          <w:jc w:val="center"/>
        </w:trPr>
        <w:tc>
          <w:tcPr>
            <w:tcW w:w="1096" w:type="dxa"/>
            <w:tcBorders>
              <w:top w:val="single" w:sz="4" w:space="0" w:color="000000"/>
              <w:left w:val="nil"/>
              <w:bottom w:val="single" w:sz="4" w:space="0" w:color="000000"/>
              <w:right w:val="nil"/>
            </w:tcBorders>
            <w:shd w:val="clear" w:color="auto" w:fill="auto"/>
            <w:vAlign w:val="bottom"/>
          </w:tcPr>
          <w:p w14:paraId="79C2F010" w14:textId="77777777" w:rsidR="00092A4B" w:rsidRDefault="00092A4B" w:rsidP="00B82E85">
            <w:pPr>
              <w:spacing w:after="120"/>
              <w:rPr>
                <w:rFonts w:ascii="Times New Roman" w:eastAsia="Times New Roman" w:hAnsi="Times New Roman" w:cs="Times New Roman"/>
              </w:rPr>
            </w:pPr>
          </w:p>
        </w:tc>
        <w:tc>
          <w:tcPr>
            <w:tcW w:w="996" w:type="dxa"/>
            <w:tcBorders>
              <w:top w:val="single" w:sz="8" w:space="0" w:color="000000"/>
              <w:left w:val="nil"/>
              <w:bottom w:val="single" w:sz="4" w:space="0" w:color="000000"/>
              <w:right w:val="nil"/>
            </w:tcBorders>
            <w:shd w:val="clear" w:color="auto" w:fill="auto"/>
            <w:vAlign w:val="bottom"/>
          </w:tcPr>
          <w:p w14:paraId="468084DB" w14:textId="77777777" w:rsidR="00092A4B" w:rsidRDefault="001B2295" w:rsidP="00B82E85">
            <w:pPr>
              <w:spacing w:after="120"/>
              <w:jc w:val="center"/>
              <w:rPr>
                <w:rFonts w:ascii="Times New Roman" w:eastAsia="Times New Roman" w:hAnsi="Times New Roman" w:cs="Times New Roman"/>
              </w:rPr>
            </w:pPr>
            <w:r>
              <w:rPr>
                <w:rFonts w:ascii="Times New Roman" w:eastAsia="Times New Roman" w:hAnsi="Times New Roman" w:cs="Times New Roman"/>
              </w:rPr>
              <w:t>FKI</w:t>
            </w:r>
          </w:p>
        </w:tc>
        <w:tc>
          <w:tcPr>
            <w:tcW w:w="996" w:type="dxa"/>
            <w:tcBorders>
              <w:top w:val="single" w:sz="8" w:space="0" w:color="000000"/>
              <w:left w:val="nil"/>
              <w:bottom w:val="single" w:sz="4" w:space="0" w:color="000000"/>
              <w:right w:val="nil"/>
            </w:tcBorders>
            <w:shd w:val="clear" w:color="auto" w:fill="auto"/>
            <w:vAlign w:val="bottom"/>
          </w:tcPr>
          <w:p w14:paraId="4B75A6E4" w14:textId="77777777" w:rsidR="00092A4B" w:rsidRDefault="001B2295" w:rsidP="00B82E85">
            <w:pPr>
              <w:spacing w:after="120"/>
              <w:jc w:val="center"/>
              <w:rPr>
                <w:rFonts w:ascii="Times New Roman" w:eastAsia="Times New Roman" w:hAnsi="Times New Roman" w:cs="Times New Roman"/>
              </w:rPr>
            </w:pPr>
            <w:r>
              <w:rPr>
                <w:rFonts w:ascii="Times New Roman" w:eastAsia="Times New Roman" w:hAnsi="Times New Roman" w:cs="Times New Roman"/>
              </w:rPr>
              <w:t>GRI</w:t>
            </w:r>
          </w:p>
        </w:tc>
        <w:tc>
          <w:tcPr>
            <w:tcW w:w="996" w:type="dxa"/>
            <w:tcBorders>
              <w:top w:val="single" w:sz="8" w:space="0" w:color="000000"/>
              <w:left w:val="nil"/>
              <w:bottom w:val="single" w:sz="4" w:space="0" w:color="000000"/>
              <w:right w:val="nil"/>
            </w:tcBorders>
            <w:shd w:val="clear" w:color="auto" w:fill="auto"/>
            <w:vAlign w:val="bottom"/>
          </w:tcPr>
          <w:p w14:paraId="7B9050CA" w14:textId="77777777" w:rsidR="00092A4B" w:rsidRDefault="001B2295" w:rsidP="00B82E85">
            <w:pPr>
              <w:spacing w:after="120"/>
              <w:jc w:val="center"/>
              <w:rPr>
                <w:rFonts w:ascii="Times New Roman" w:eastAsia="Times New Roman" w:hAnsi="Times New Roman" w:cs="Times New Roman"/>
              </w:rPr>
            </w:pPr>
            <w:r>
              <w:rPr>
                <w:rFonts w:ascii="Times New Roman" w:eastAsia="Times New Roman" w:hAnsi="Times New Roman" w:cs="Times New Roman"/>
              </w:rPr>
              <w:t>PBV</w:t>
            </w:r>
          </w:p>
        </w:tc>
      </w:tr>
      <w:tr w:rsidR="00092A4B" w14:paraId="38871E74" w14:textId="77777777">
        <w:trPr>
          <w:trHeight w:val="255"/>
          <w:jc w:val="center"/>
        </w:trPr>
        <w:tc>
          <w:tcPr>
            <w:tcW w:w="1096" w:type="dxa"/>
            <w:tcBorders>
              <w:top w:val="single" w:sz="4" w:space="0" w:color="000000"/>
              <w:left w:val="nil"/>
              <w:bottom w:val="nil"/>
              <w:right w:val="nil"/>
            </w:tcBorders>
            <w:shd w:val="clear" w:color="auto" w:fill="auto"/>
            <w:vAlign w:val="bottom"/>
          </w:tcPr>
          <w:p w14:paraId="26E25CF2" w14:textId="77777777" w:rsidR="00092A4B" w:rsidRDefault="001B2295" w:rsidP="00B82E85">
            <w:pPr>
              <w:spacing w:after="120"/>
              <w:rPr>
                <w:rFonts w:ascii="Times New Roman" w:eastAsia="Times New Roman" w:hAnsi="Times New Roman" w:cs="Times New Roman"/>
              </w:rPr>
            </w:pPr>
            <w:r>
              <w:rPr>
                <w:rFonts w:ascii="Times New Roman" w:eastAsia="Times New Roman" w:hAnsi="Times New Roman" w:cs="Times New Roman"/>
              </w:rPr>
              <w:t>Rata-rata</w:t>
            </w:r>
          </w:p>
        </w:tc>
        <w:tc>
          <w:tcPr>
            <w:tcW w:w="996" w:type="dxa"/>
            <w:tcBorders>
              <w:top w:val="nil"/>
              <w:left w:val="nil"/>
              <w:bottom w:val="nil"/>
              <w:right w:val="nil"/>
            </w:tcBorders>
            <w:shd w:val="clear" w:color="auto" w:fill="auto"/>
            <w:vAlign w:val="bottom"/>
          </w:tcPr>
          <w:p w14:paraId="55147BBE"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15,6232</w:t>
            </w:r>
          </w:p>
        </w:tc>
        <w:tc>
          <w:tcPr>
            <w:tcW w:w="996" w:type="dxa"/>
            <w:tcBorders>
              <w:top w:val="nil"/>
              <w:left w:val="nil"/>
              <w:bottom w:val="nil"/>
              <w:right w:val="nil"/>
            </w:tcBorders>
            <w:shd w:val="clear" w:color="auto" w:fill="auto"/>
            <w:vAlign w:val="bottom"/>
          </w:tcPr>
          <w:p w14:paraId="0DDBFAF9"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13,7101</w:t>
            </w:r>
          </w:p>
        </w:tc>
        <w:tc>
          <w:tcPr>
            <w:tcW w:w="996" w:type="dxa"/>
            <w:tcBorders>
              <w:top w:val="nil"/>
              <w:left w:val="nil"/>
              <w:bottom w:val="nil"/>
              <w:right w:val="nil"/>
            </w:tcBorders>
            <w:shd w:val="clear" w:color="auto" w:fill="auto"/>
            <w:vAlign w:val="bottom"/>
          </w:tcPr>
          <w:p w14:paraId="4B37D8DB"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2,4122</w:t>
            </w:r>
          </w:p>
        </w:tc>
      </w:tr>
      <w:tr w:rsidR="00092A4B" w14:paraId="3B73225A" w14:textId="77777777">
        <w:trPr>
          <w:trHeight w:val="255"/>
          <w:jc w:val="center"/>
        </w:trPr>
        <w:tc>
          <w:tcPr>
            <w:tcW w:w="1096" w:type="dxa"/>
            <w:tcBorders>
              <w:top w:val="nil"/>
              <w:left w:val="nil"/>
              <w:bottom w:val="nil"/>
              <w:right w:val="nil"/>
            </w:tcBorders>
            <w:shd w:val="clear" w:color="auto" w:fill="auto"/>
            <w:vAlign w:val="bottom"/>
          </w:tcPr>
          <w:p w14:paraId="32A81A43" w14:textId="77777777" w:rsidR="00092A4B" w:rsidRDefault="001B2295" w:rsidP="00B82E85">
            <w:pPr>
              <w:spacing w:after="120"/>
              <w:rPr>
                <w:rFonts w:ascii="Times New Roman" w:eastAsia="Times New Roman" w:hAnsi="Times New Roman" w:cs="Times New Roman"/>
              </w:rPr>
            </w:pPr>
            <w:r>
              <w:rPr>
                <w:rFonts w:ascii="Times New Roman" w:eastAsia="Times New Roman" w:hAnsi="Times New Roman" w:cs="Times New Roman"/>
              </w:rPr>
              <w:t>St Dev</w:t>
            </w:r>
          </w:p>
        </w:tc>
        <w:tc>
          <w:tcPr>
            <w:tcW w:w="996" w:type="dxa"/>
            <w:tcBorders>
              <w:top w:val="nil"/>
              <w:left w:val="nil"/>
              <w:bottom w:val="nil"/>
              <w:right w:val="nil"/>
            </w:tcBorders>
            <w:shd w:val="clear" w:color="auto" w:fill="auto"/>
            <w:vAlign w:val="bottom"/>
          </w:tcPr>
          <w:p w14:paraId="7604592C"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11,6418</w:t>
            </w:r>
          </w:p>
        </w:tc>
        <w:tc>
          <w:tcPr>
            <w:tcW w:w="996" w:type="dxa"/>
            <w:tcBorders>
              <w:top w:val="nil"/>
              <w:left w:val="nil"/>
              <w:bottom w:val="nil"/>
              <w:right w:val="nil"/>
            </w:tcBorders>
            <w:shd w:val="clear" w:color="auto" w:fill="auto"/>
            <w:vAlign w:val="bottom"/>
          </w:tcPr>
          <w:p w14:paraId="1FDDEF36"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4,4195</w:t>
            </w:r>
          </w:p>
        </w:tc>
        <w:tc>
          <w:tcPr>
            <w:tcW w:w="996" w:type="dxa"/>
            <w:tcBorders>
              <w:top w:val="nil"/>
              <w:left w:val="nil"/>
              <w:bottom w:val="nil"/>
              <w:right w:val="nil"/>
            </w:tcBorders>
            <w:shd w:val="clear" w:color="auto" w:fill="auto"/>
            <w:vAlign w:val="bottom"/>
          </w:tcPr>
          <w:p w14:paraId="202EB8C5"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3,5069</w:t>
            </w:r>
          </w:p>
        </w:tc>
      </w:tr>
      <w:tr w:rsidR="00092A4B" w14:paraId="1C272FBA" w14:textId="77777777">
        <w:trPr>
          <w:trHeight w:val="255"/>
          <w:jc w:val="center"/>
        </w:trPr>
        <w:tc>
          <w:tcPr>
            <w:tcW w:w="1096" w:type="dxa"/>
            <w:tcBorders>
              <w:top w:val="nil"/>
              <w:left w:val="nil"/>
              <w:bottom w:val="nil"/>
              <w:right w:val="nil"/>
            </w:tcBorders>
            <w:shd w:val="clear" w:color="auto" w:fill="auto"/>
            <w:vAlign w:val="bottom"/>
          </w:tcPr>
          <w:p w14:paraId="4AF9A6CB" w14:textId="77777777" w:rsidR="00092A4B" w:rsidRDefault="001B2295" w:rsidP="00B82E85">
            <w:pPr>
              <w:spacing w:after="120"/>
              <w:rPr>
                <w:rFonts w:ascii="Times New Roman" w:eastAsia="Times New Roman" w:hAnsi="Times New Roman" w:cs="Times New Roman"/>
              </w:rPr>
            </w:pPr>
            <w:r>
              <w:rPr>
                <w:rFonts w:ascii="Times New Roman" w:eastAsia="Times New Roman" w:hAnsi="Times New Roman" w:cs="Times New Roman"/>
              </w:rPr>
              <w:t>Min</w:t>
            </w:r>
          </w:p>
        </w:tc>
        <w:tc>
          <w:tcPr>
            <w:tcW w:w="996" w:type="dxa"/>
            <w:tcBorders>
              <w:top w:val="nil"/>
              <w:left w:val="nil"/>
              <w:bottom w:val="nil"/>
              <w:right w:val="nil"/>
            </w:tcBorders>
            <w:shd w:val="clear" w:color="auto" w:fill="auto"/>
            <w:vAlign w:val="bottom"/>
          </w:tcPr>
          <w:p w14:paraId="66809A40"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3</w:t>
            </w:r>
          </w:p>
        </w:tc>
        <w:tc>
          <w:tcPr>
            <w:tcW w:w="996" w:type="dxa"/>
            <w:tcBorders>
              <w:top w:val="nil"/>
              <w:left w:val="nil"/>
              <w:bottom w:val="nil"/>
              <w:right w:val="nil"/>
            </w:tcBorders>
            <w:shd w:val="clear" w:color="auto" w:fill="auto"/>
            <w:vAlign w:val="bottom"/>
          </w:tcPr>
          <w:p w14:paraId="6EAA87A7"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2</w:t>
            </w:r>
          </w:p>
        </w:tc>
        <w:tc>
          <w:tcPr>
            <w:tcW w:w="996" w:type="dxa"/>
            <w:tcBorders>
              <w:top w:val="nil"/>
              <w:left w:val="nil"/>
              <w:bottom w:val="nil"/>
              <w:right w:val="nil"/>
            </w:tcBorders>
            <w:shd w:val="clear" w:color="auto" w:fill="auto"/>
            <w:vAlign w:val="bottom"/>
          </w:tcPr>
          <w:p w14:paraId="1F22FBEB"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0,2315</w:t>
            </w:r>
          </w:p>
        </w:tc>
      </w:tr>
      <w:tr w:rsidR="00092A4B" w14:paraId="63AC8F94" w14:textId="77777777">
        <w:trPr>
          <w:trHeight w:val="255"/>
          <w:jc w:val="center"/>
        </w:trPr>
        <w:tc>
          <w:tcPr>
            <w:tcW w:w="1096" w:type="dxa"/>
            <w:tcBorders>
              <w:top w:val="nil"/>
              <w:left w:val="nil"/>
              <w:bottom w:val="nil"/>
              <w:right w:val="nil"/>
            </w:tcBorders>
            <w:shd w:val="clear" w:color="auto" w:fill="auto"/>
            <w:vAlign w:val="bottom"/>
          </w:tcPr>
          <w:p w14:paraId="265EC5BE" w14:textId="77777777" w:rsidR="00092A4B" w:rsidRDefault="001B2295" w:rsidP="00B82E85">
            <w:pPr>
              <w:spacing w:after="120"/>
              <w:rPr>
                <w:rFonts w:ascii="Times New Roman" w:eastAsia="Times New Roman" w:hAnsi="Times New Roman" w:cs="Times New Roman"/>
              </w:rPr>
            </w:pPr>
            <w:r>
              <w:rPr>
                <w:rFonts w:ascii="Times New Roman" w:eastAsia="Times New Roman" w:hAnsi="Times New Roman" w:cs="Times New Roman"/>
              </w:rPr>
              <w:t>Max</w:t>
            </w:r>
          </w:p>
        </w:tc>
        <w:tc>
          <w:tcPr>
            <w:tcW w:w="996" w:type="dxa"/>
            <w:tcBorders>
              <w:top w:val="nil"/>
              <w:left w:val="nil"/>
              <w:bottom w:val="nil"/>
              <w:right w:val="nil"/>
            </w:tcBorders>
            <w:shd w:val="clear" w:color="auto" w:fill="auto"/>
            <w:vAlign w:val="bottom"/>
          </w:tcPr>
          <w:p w14:paraId="1CD4D554"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43</w:t>
            </w:r>
          </w:p>
        </w:tc>
        <w:tc>
          <w:tcPr>
            <w:tcW w:w="996" w:type="dxa"/>
            <w:tcBorders>
              <w:top w:val="nil"/>
              <w:left w:val="nil"/>
              <w:bottom w:val="nil"/>
              <w:right w:val="nil"/>
            </w:tcBorders>
            <w:shd w:val="clear" w:color="auto" w:fill="auto"/>
            <w:vAlign w:val="bottom"/>
          </w:tcPr>
          <w:p w14:paraId="2C08C00C"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20</w:t>
            </w:r>
          </w:p>
        </w:tc>
        <w:tc>
          <w:tcPr>
            <w:tcW w:w="996" w:type="dxa"/>
            <w:tcBorders>
              <w:top w:val="nil"/>
              <w:left w:val="nil"/>
              <w:bottom w:val="nil"/>
              <w:right w:val="nil"/>
            </w:tcBorders>
            <w:shd w:val="clear" w:color="auto" w:fill="auto"/>
            <w:vAlign w:val="bottom"/>
          </w:tcPr>
          <w:p w14:paraId="66BC5F9A"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17,2715</w:t>
            </w:r>
          </w:p>
        </w:tc>
      </w:tr>
      <w:tr w:rsidR="00092A4B" w14:paraId="349F65A3" w14:textId="77777777">
        <w:trPr>
          <w:trHeight w:val="270"/>
          <w:jc w:val="center"/>
        </w:trPr>
        <w:tc>
          <w:tcPr>
            <w:tcW w:w="1096" w:type="dxa"/>
            <w:tcBorders>
              <w:top w:val="nil"/>
              <w:left w:val="nil"/>
              <w:bottom w:val="single" w:sz="8" w:space="0" w:color="000000"/>
              <w:right w:val="nil"/>
            </w:tcBorders>
            <w:shd w:val="clear" w:color="auto" w:fill="auto"/>
            <w:vAlign w:val="bottom"/>
          </w:tcPr>
          <w:p w14:paraId="6E0D0B89" w14:textId="77777777" w:rsidR="00092A4B" w:rsidRDefault="001B2295" w:rsidP="00B82E85">
            <w:pPr>
              <w:spacing w:after="120"/>
              <w:rPr>
                <w:rFonts w:ascii="Times New Roman" w:eastAsia="Times New Roman" w:hAnsi="Times New Roman" w:cs="Times New Roman"/>
              </w:rPr>
            </w:pPr>
            <w:r>
              <w:rPr>
                <w:rFonts w:ascii="Times New Roman" w:eastAsia="Times New Roman" w:hAnsi="Times New Roman" w:cs="Times New Roman"/>
              </w:rPr>
              <w:t>N</w:t>
            </w:r>
          </w:p>
        </w:tc>
        <w:tc>
          <w:tcPr>
            <w:tcW w:w="996" w:type="dxa"/>
            <w:tcBorders>
              <w:top w:val="nil"/>
              <w:left w:val="nil"/>
              <w:bottom w:val="single" w:sz="8" w:space="0" w:color="000000"/>
              <w:right w:val="nil"/>
            </w:tcBorders>
            <w:shd w:val="clear" w:color="auto" w:fill="auto"/>
            <w:vAlign w:val="bottom"/>
          </w:tcPr>
          <w:p w14:paraId="058080C2"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69</w:t>
            </w:r>
          </w:p>
        </w:tc>
        <w:tc>
          <w:tcPr>
            <w:tcW w:w="996" w:type="dxa"/>
            <w:tcBorders>
              <w:top w:val="nil"/>
              <w:left w:val="nil"/>
              <w:bottom w:val="single" w:sz="8" w:space="0" w:color="000000"/>
              <w:right w:val="nil"/>
            </w:tcBorders>
            <w:shd w:val="clear" w:color="auto" w:fill="auto"/>
            <w:vAlign w:val="bottom"/>
          </w:tcPr>
          <w:p w14:paraId="2DD83ADD"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69</w:t>
            </w:r>
          </w:p>
        </w:tc>
        <w:tc>
          <w:tcPr>
            <w:tcW w:w="996" w:type="dxa"/>
            <w:tcBorders>
              <w:top w:val="nil"/>
              <w:left w:val="nil"/>
              <w:bottom w:val="single" w:sz="8" w:space="0" w:color="000000"/>
              <w:right w:val="nil"/>
            </w:tcBorders>
            <w:shd w:val="clear" w:color="auto" w:fill="auto"/>
            <w:vAlign w:val="bottom"/>
          </w:tcPr>
          <w:p w14:paraId="5B570674" w14:textId="77777777" w:rsidR="00092A4B" w:rsidRDefault="001B2295" w:rsidP="00B82E85">
            <w:pPr>
              <w:spacing w:after="120"/>
              <w:jc w:val="right"/>
              <w:rPr>
                <w:rFonts w:ascii="Times New Roman" w:eastAsia="Times New Roman" w:hAnsi="Times New Roman" w:cs="Times New Roman"/>
              </w:rPr>
            </w:pPr>
            <w:r>
              <w:rPr>
                <w:rFonts w:ascii="Times New Roman" w:eastAsia="Times New Roman" w:hAnsi="Times New Roman" w:cs="Times New Roman"/>
              </w:rPr>
              <w:t>69</w:t>
            </w:r>
          </w:p>
        </w:tc>
      </w:tr>
    </w:tbl>
    <w:p w14:paraId="620ADB5B" w14:textId="77777777" w:rsidR="00092A4B" w:rsidRDefault="001B2295" w:rsidP="00B82E85">
      <w:pPr>
        <w:spacing w:after="120"/>
        <w:jc w:val="center"/>
        <w:rPr>
          <w:rFonts w:ascii="Times New Roman" w:eastAsia="Times New Roman" w:hAnsi="Times New Roman" w:cs="Times New Roman"/>
        </w:rPr>
      </w:pPr>
      <w:r>
        <w:rPr>
          <w:rFonts w:ascii="Times New Roman" w:eastAsia="Times New Roman" w:hAnsi="Times New Roman" w:cs="Times New Roman"/>
        </w:rPr>
        <w:t>Sumber: Diolah oleh penulis, 2026.</w:t>
      </w:r>
    </w:p>
    <w:p w14:paraId="7EED8241"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Perusahaan yang melakukan komite audit terbanyak (max=43) adalah perusahaan dengan kode CPIN pada periode penelitian 2023. Sedangkan perusahaan yang melakukan komite audit paling sedikit (min=3) adalah perusahaan berkode</w:t>
      </w:r>
      <w:r>
        <w:rPr>
          <w:rFonts w:ascii="Times New Roman" w:eastAsia="Times New Roman" w:hAnsi="Times New Roman" w:cs="Times New Roman"/>
        </w:rPr>
        <w:t xml:space="preserve"> ASII di periode penelitian 2023. Angka standar deviasi dari FKI sebesar 11,64 menggambarkan adanya sebaran data yang relatif besar variasinya. Dapat disimpulkan bahwa perusahaan yang terindeks IDX30 menjalankan dengan baik pelaksaan komite audit setiap ta</w:t>
      </w:r>
      <w:r>
        <w:rPr>
          <w:rFonts w:ascii="Times New Roman" w:eastAsia="Times New Roman" w:hAnsi="Times New Roman" w:cs="Times New Roman"/>
        </w:rPr>
        <w:t>hunnya sesuai dengan peraturan yang berlaku.</w:t>
      </w:r>
    </w:p>
    <w:p w14:paraId="7E8D0636" w14:textId="78AAE3CE"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Sustainability report assurance yang berhasil dikumpulkan sepanjang periode penelitian berdasarkan GRI G4 terdiri dari 6 kategori, yaitu kategori ekonomi (4 indikator), lingkungan (12 indikator), sosial (7 indi</w:t>
      </w:r>
      <w:r>
        <w:rPr>
          <w:rFonts w:ascii="Times New Roman" w:eastAsia="Times New Roman" w:hAnsi="Times New Roman" w:cs="Times New Roman"/>
        </w:rPr>
        <w:t>kator), hak asasi manusia (10 indikator), masyarakat (7 indikator) dan tanggung jawab atas produk (5 indikator). Ditemukan rata-rata lebih dari 13 indikator dari total 45 indikator yang berada pada GRI G4 telah diugkapkan. Ditemukan indikator terendah (min</w:t>
      </w:r>
      <w:r>
        <w:rPr>
          <w:rFonts w:ascii="Times New Roman" w:eastAsia="Times New Roman" w:hAnsi="Times New Roman" w:cs="Times New Roman"/>
        </w:rPr>
        <w:t>=2) terjadi pada periode 2023 pada perusahaan berkode ADRO yang dibuat pada kategori lingkungan dan kategori sosial saja. Sedangkan pengungkapan indicator terbanyak (max=20) dilakukan oleh perusahaan berkode KLBF, PTBA dan SMGR. Jumlah standar deviasi sebe</w:t>
      </w:r>
      <w:r>
        <w:rPr>
          <w:rFonts w:ascii="Times New Roman" w:eastAsia="Times New Roman" w:hAnsi="Times New Roman" w:cs="Times New Roman"/>
        </w:rPr>
        <w:t>sar 4,4 memberikan sebaran data dengan variasi yang relative sedikit menyebar. Dapat disimpulkan bahwa pelaksanaan sustainability report assurance pada perusahaan terindeks IDX30 masih perlu dilakukan peningkatan, karena belum mencapai 31% dari standar kat</w:t>
      </w:r>
      <w:r>
        <w:rPr>
          <w:rFonts w:ascii="Times New Roman" w:eastAsia="Times New Roman" w:hAnsi="Times New Roman" w:cs="Times New Roman"/>
        </w:rPr>
        <w:t>egori yang disarankan.</w:t>
      </w:r>
    </w:p>
    <w:p w14:paraId="0633C8CD" w14:textId="5E18456F"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Gambaran nilai perusahaan terindeks IDX30 yang diproksikan melalui nilai PBV pada umumnya sebesar 2,4 yang bermakna adanya harga saham yang 240% lebih besar dari nilai intrinsik perusahaan.</w:t>
      </w:r>
      <w:r w:rsidR="00DB4285">
        <w:rPr>
          <w:rFonts w:ascii="Times New Roman" w:eastAsia="Times New Roman" w:hAnsi="Times New Roman" w:cs="Times New Roman"/>
        </w:rPr>
        <w:t xml:space="preserve"> </w:t>
      </w:r>
      <w:r w:rsidR="00DB4285" w:rsidRPr="00DB4285">
        <w:rPr>
          <w:rFonts w:ascii="Times New Roman" w:eastAsia="Times New Roman" w:hAnsi="Times New Roman" w:cs="Times New Roman"/>
        </w:rPr>
        <w:t>Rasio PBV yang tinggi mencerminkan ekspektasi investor terhadap pertumbuhan perusahaan di masa depan</w:t>
      </w:r>
      <w:r w:rsidR="00DB4285">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"/>
          <w:id w:val="1529686516"/>
          <w:placeholder>
            <w:docPart w:val="DefaultPlaceholder_-1854013440"/>
          </w:placeholder>
        </w:sdtPr>
        <w:sdtEndPr/>
        <w:sdtContent>
          <w:r w:rsidR="00867FB8" w:rsidRPr="00867FB8">
            <w:rPr>
              <w:rFonts w:ascii="Times New Roman" w:eastAsia="Times New Roman" w:hAnsi="Times New Roman" w:cs="Times New Roman"/>
              <w:color w:val="000000"/>
            </w:rPr>
            <w:t>(Brigham &amp; Houston, 2004)</w:t>
          </w:r>
        </w:sdtContent>
      </w:sdt>
      <w:r w:rsidR="00DB4285">
        <w:rPr>
          <w:rFonts w:ascii="Times New Roman" w:eastAsia="Times New Roman" w:hAnsi="Times New Roman" w:cs="Times New Roman"/>
        </w:rPr>
        <w:t xml:space="preserve">. </w:t>
      </w:r>
      <w:r>
        <w:rPr>
          <w:rFonts w:ascii="Times New Roman" w:eastAsia="Times New Roman" w:hAnsi="Times New Roman" w:cs="Times New Roman"/>
        </w:rPr>
        <w:t xml:space="preserve">Pasar memberikan relatif tinggi bagi harga saham perusahaan yang terindeks IDX30 dan hal ini mengandung risiko yang tinggi juga. Nilai perusahaan terrendah (min=0,23) </w:t>
      </w:r>
      <w:r>
        <w:rPr>
          <w:rFonts w:ascii="Times New Roman" w:eastAsia="Times New Roman" w:hAnsi="Times New Roman" w:cs="Times New Roman"/>
        </w:rPr>
        <w:t>terjadi pada tahun 2024 di perusahaan berkode INCO, sedangkan nilai perusahaan tertinggi (max=17,27) terjadi di periode 2022 pada perusahaan berkode BBCA. Sebaran data nilai perusahaan memiliki variasi yang sangat besar, bahkan lebih besar dari nilai rata-</w:t>
      </w:r>
      <w:r>
        <w:rPr>
          <w:rFonts w:ascii="Times New Roman" w:eastAsia="Times New Roman" w:hAnsi="Times New Roman" w:cs="Times New Roman"/>
        </w:rPr>
        <w:t>rata nilai perusahaan terindeks IDX30. Munculnya nilai perusahaan yang tinggi (&gt;3) karena adanya espektasi pasar yang begitu besar atas pertumbuhan perusahaan. Pada umumnya terjadi pada saham blue chip atau sektor yang sedang booming. Selama periode pengam</w:t>
      </w:r>
      <w:r>
        <w:rPr>
          <w:rFonts w:ascii="Times New Roman" w:eastAsia="Times New Roman" w:hAnsi="Times New Roman" w:cs="Times New Roman"/>
        </w:rPr>
        <w:t>atan, perusahaan yang menghasilkan nilai perusahaan tinggi adalah perusahaan dengan kode ADRO, ANTM, ARTO, BBCA, GOTO, dan UNVR. Beberapa perusahaan terindeks IDX30 yang sempat menghasilkan nilai perusahaan rendah (&lt;0,5) terjadi pada perusahaan berkode ASI</w:t>
      </w:r>
      <w:r>
        <w:rPr>
          <w:rFonts w:ascii="Times New Roman" w:eastAsia="Times New Roman" w:hAnsi="Times New Roman" w:cs="Times New Roman"/>
        </w:rPr>
        <w:t xml:space="preserve">I, </w:t>
      </w:r>
      <w:r>
        <w:rPr>
          <w:rFonts w:ascii="Times New Roman" w:eastAsia="Times New Roman" w:hAnsi="Times New Roman" w:cs="Times New Roman"/>
        </w:rPr>
        <w:lastRenderedPageBreak/>
        <w:t>INCO dan INDF. Dapat disimpulkan bahwa nilai perusahaan terindeks IDX30 menunjukkan hasil yang relative tinggi menggambarkan adanya harapan yang besar dari pada investor atas pertumbuhan kinerja keuangan.</w:t>
      </w:r>
    </w:p>
    <w:p w14:paraId="0BAB2676" w14:textId="77777777" w:rsidR="00092A4B" w:rsidRDefault="00092A4B" w:rsidP="00B82E85">
      <w:pPr>
        <w:jc w:val="both"/>
        <w:rPr>
          <w:rFonts w:ascii="Times New Roman" w:eastAsia="Times New Roman" w:hAnsi="Times New Roman" w:cs="Times New Roman"/>
        </w:rPr>
      </w:pPr>
    </w:p>
    <w:p w14:paraId="3FEF3A00"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Uji Asumsi Klasik</w:t>
      </w:r>
    </w:p>
    <w:p w14:paraId="5790E4F9" w14:textId="77777777" w:rsidR="00092A4B" w:rsidRDefault="001B2295" w:rsidP="00B82E85">
      <w:pPr>
        <w:jc w:val="both"/>
        <w:rPr>
          <w:rFonts w:ascii="Times New Roman" w:eastAsia="Times New Roman" w:hAnsi="Times New Roman" w:cs="Times New Roman"/>
        </w:rPr>
      </w:pPr>
      <w:r>
        <w:rPr>
          <w:rFonts w:ascii="Times New Roman" w:eastAsia="Times New Roman" w:hAnsi="Times New Roman" w:cs="Times New Roman"/>
        </w:rPr>
        <w:t>Uji asumsi klasik dibuat untu</w:t>
      </w:r>
      <w:r>
        <w:rPr>
          <w:rFonts w:ascii="Times New Roman" w:eastAsia="Times New Roman" w:hAnsi="Times New Roman" w:cs="Times New Roman"/>
        </w:rPr>
        <w:t>k memastikan kelayakan data melalui proses analisis regresi. Uji asumsi klasik yang akan ditampilkan di sini adalah uji normalitas, heteroskedastisitas, auto korelasi dan multikolinearitas yang dapat dilihat dalam tabel di bawah ini.</w:t>
      </w:r>
    </w:p>
    <w:p w14:paraId="6CAD08A2" w14:textId="77777777" w:rsidR="00092A4B" w:rsidRDefault="00092A4B" w:rsidP="00B82E85">
      <w:pPr>
        <w:jc w:val="both"/>
        <w:rPr>
          <w:rFonts w:ascii="Times New Roman" w:eastAsia="Times New Roman" w:hAnsi="Times New Roman" w:cs="Times New Roman"/>
        </w:rPr>
      </w:pPr>
    </w:p>
    <w:p w14:paraId="4531296F" w14:textId="77777777" w:rsidR="00092A4B" w:rsidRDefault="001B2295" w:rsidP="00B82E85">
      <w:pPr>
        <w:jc w:val="center"/>
        <w:rPr>
          <w:rFonts w:ascii="Times New Roman" w:eastAsia="Times New Roman" w:hAnsi="Times New Roman" w:cs="Times New Roman"/>
        </w:rPr>
      </w:pPr>
      <w:r>
        <w:rPr>
          <w:rFonts w:ascii="Times New Roman" w:eastAsia="Times New Roman" w:hAnsi="Times New Roman" w:cs="Times New Roman"/>
          <w:b/>
          <w:bCs/>
        </w:rPr>
        <w:t>Tabel 2.</w:t>
      </w:r>
      <w:r>
        <w:rPr>
          <w:rFonts w:ascii="Times New Roman" w:eastAsia="Times New Roman" w:hAnsi="Times New Roman" w:cs="Times New Roman"/>
        </w:rPr>
        <w:t xml:space="preserve"> Uji Asumsi K</w:t>
      </w:r>
      <w:r>
        <w:rPr>
          <w:rFonts w:ascii="Times New Roman" w:eastAsia="Times New Roman" w:hAnsi="Times New Roman" w:cs="Times New Roman"/>
        </w:rPr>
        <w:t>lasik</w:t>
      </w:r>
    </w:p>
    <w:tbl>
      <w:tblPr>
        <w:tblStyle w:val="a2"/>
        <w:tblW w:w="8339" w:type="dxa"/>
        <w:jc w:val="center"/>
        <w:tblInd w:w="0" w:type="dxa"/>
        <w:tblBorders>
          <w:top w:val="single" w:sz="4" w:space="0" w:color="000000"/>
          <w:bottom w:val="single" w:sz="4" w:space="0" w:color="000000"/>
        </w:tblBorders>
        <w:tblLayout w:type="fixed"/>
        <w:tblLook w:val="04A0" w:firstRow="1" w:lastRow="0" w:firstColumn="1" w:lastColumn="0" w:noHBand="0" w:noVBand="1"/>
      </w:tblPr>
      <w:tblGrid>
        <w:gridCol w:w="510"/>
        <w:gridCol w:w="2069"/>
        <w:gridCol w:w="2451"/>
        <w:gridCol w:w="3309"/>
      </w:tblGrid>
      <w:tr w:rsidR="00092A4B" w14:paraId="5E0132FB" w14:textId="77777777" w:rsidTr="00092A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0A0F6776"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069" w:type="dxa"/>
            <w:shd w:val="clear" w:color="auto" w:fill="auto"/>
          </w:tcPr>
          <w:p w14:paraId="0C00CF12"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Uji</w:t>
            </w:r>
          </w:p>
        </w:tc>
        <w:tc>
          <w:tcPr>
            <w:tcW w:w="2451" w:type="dxa"/>
            <w:shd w:val="clear" w:color="auto" w:fill="auto"/>
          </w:tcPr>
          <w:p w14:paraId="161497AB"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w:t>
            </w:r>
          </w:p>
        </w:tc>
        <w:tc>
          <w:tcPr>
            <w:tcW w:w="3309" w:type="dxa"/>
            <w:shd w:val="clear" w:color="auto" w:fill="auto"/>
          </w:tcPr>
          <w:p w14:paraId="2F0B4274"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Hasil</w:t>
            </w:r>
          </w:p>
        </w:tc>
      </w:tr>
      <w:tr w:rsidR="00092A4B" w14:paraId="520817E1" w14:textId="77777777" w:rsidTr="00092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6F0DB507"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1</w:t>
            </w:r>
          </w:p>
        </w:tc>
        <w:tc>
          <w:tcPr>
            <w:tcW w:w="2069" w:type="dxa"/>
            <w:shd w:val="clear" w:color="auto" w:fill="auto"/>
          </w:tcPr>
          <w:p w14:paraId="7BE6B251"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Normalitas</w:t>
            </w:r>
          </w:p>
        </w:tc>
        <w:tc>
          <w:tcPr>
            <w:tcW w:w="2451" w:type="dxa"/>
            <w:shd w:val="clear" w:color="auto" w:fill="auto"/>
          </w:tcPr>
          <w:p w14:paraId="5C53D977"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 = 0,351&gt;0,05</w:t>
            </w:r>
          </w:p>
        </w:tc>
        <w:tc>
          <w:tcPr>
            <w:tcW w:w="3309" w:type="dxa"/>
            <w:shd w:val="clear" w:color="auto" w:fill="auto"/>
          </w:tcPr>
          <w:p w14:paraId="17CA96CE"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Terdistribusi normal</w:t>
            </w:r>
          </w:p>
        </w:tc>
      </w:tr>
      <w:tr w:rsidR="00092A4B" w14:paraId="3189147D" w14:textId="77777777" w:rsidTr="00092A4B">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1B88F1AD"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2</w:t>
            </w:r>
          </w:p>
        </w:tc>
        <w:tc>
          <w:tcPr>
            <w:tcW w:w="2069" w:type="dxa"/>
            <w:shd w:val="clear" w:color="auto" w:fill="auto"/>
          </w:tcPr>
          <w:p w14:paraId="6FAC32A4"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Heteroskedastisitas</w:t>
            </w:r>
          </w:p>
        </w:tc>
        <w:tc>
          <w:tcPr>
            <w:tcW w:w="2451" w:type="dxa"/>
            <w:shd w:val="clear" w:color="auto" w:fill="auto"/>
          </w:tcPr>
          <w:p w14:paraId="3C1FB1A5"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 = 0,394&gt;0,05</w:t>
            </w:r>
          </w:p>
        </w:tc>
        <w:tc>
          <w:tcPr>
            <w:tcW w:w="3309" w:type="dxa"/>
            <w:shd w:val="clear" w:color="auto" w:fill="auto"/>
          </w:tcPr>
          <w:p w14:paraId="26EEC85B"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terjadi heteroskedastisitas</w:t>
            </w:r>
          </w:p>
        </w:tc>
      </w:tr>
      <w:tr w:rsidR="00092A4B" w14:paraId="57D19D34" w14:textId="77777777" w:rsidTr="00092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72E3D98C"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3</w:t>
            </w:r>
          </w:p>
        </w:tc>
        <w:tc>
          <w:tcPr>
            <w:tcW w:w="2069" w:type="dxa"/>
            <w:shd w:val="clear" w:color="auto" w:fill="auto"/>
          </w:tcPr>
          <w:p w14:paraId="2A1DBD68"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Autokorelasi</w:t>
            </w:r>
          </w:p>
        </w:tc>
        <w:tc>
          <w:tcPr>
            <w:tcW w:w="2451" w:type="dxa"/>
            <w:shd w:val="clear" w:color="auto" w:fill="auto"/>
          </w:tcPr>
          <w:p w14:paraId="51F807D6"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DW = 2,16</w:t>
            </w:r>
          </w:p>
        </w:tc>
        <w:tc>
          <w:tcPr>
            <w:tcW w:w="3309" w:type="dxa"/>
            <w:shd w:val="clear" w:color="auto" w:fill="auto"/>
          </w:tcPr>
          <w:p w14:paraId="33517A67"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terjadi autokorelasi</w:t>
            </w:r>
          </w:p>
        </w:tc>
      </w:tr>
      <w:tr w:rsidR="00092A4B" w14:paraId="4ED655B5" w14:textId="77777777" w:rsidTr="00092A4B">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1F88C14A"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4</w:t>
            </w:r>
          </w:p>
        </w:tc>
        <w:tc>
          <w:tcPr>
            <w:tcW w:w="2069" w:type="dxa"/>
            <w:shd w:val="clear" w:color="auto" w:fill="auto"/>
          </w:tcPr>
          <w:p w14:paraId="5C6BEEDA"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Multikolinearitas</w:t>
            </w:r>
          </w:p>
        </w:tc>
        <w:tc>
          <w:tcPr>
            <w:tcW w:w="2451" w:type="dxa"/>
            <w:shd w:val="clear" w:color="auto" w:fill="auto"/>
          </w:tcPr>
          <w:p w14:paraId="33B6F92A"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0,933 &gt; 0,10</w:t>
            </w:r>
          </w:p>
          <w:p w14:paraId="0D817D2E"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VIF 1,07</w:t>
            </w:r>
            <w:r>
              <w:rPr>
                <w:rFonts w:ascii="Times New Roman" w:eastAsia="Times New Roman" w:hAnsi="Times New Roman" w:cs="Times New Roman"/>
                <w:sz w:val="24"/>
                <w:szCs w:val="24"/>
              </w:rPr>
              <w:t xml:space="preserve"> &lt; 10</w:t>
            </w:r>
          </w:p>
        </w:tc>
        <w:tc>
          <w:tcPr>
            <w:tcW w:w="3309" w:type="dxa"/>
            <w:shd w:val="clear" w:color="auto" w:fill="auto"/>
          </w:tcPr>
          <w:p w14:paraId="3BABF4AD"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terjadi multikolinearitas</w:t>
            </w:r>
          </w:p>
        </w:tc>
      </w:tr>
    </w:tbl>
    <w:p w14:paraId="0FA2D7D3" w14:textId="77777777" w:rsidR="00092A4B" w:rsidRDefault="001B2295" w:rsidP="00B82E85">
      <w:pPr>
        <w:jc w:val="center"/>
        <w:rPr>
          <w:rFonts w:ascii="Times New Roman" w:eastAsia="Times New Roman" w:hAnsi="Times New Roman" w:cs="Times New Roman"/>
        </w:rPr>
      </w:pPr>
      <w:r>
        <w:rPr>
          <w:rFonts w:ascii="Times New Roman" w:eastAsia="Times New Roman" w:hAnsi="Times New Roman" w:cs="Times New Roman"/>
        </w:rPr>
        <w:t>Sumber: Diolah oleh penulis, 2026</w:t>
      </w:r>
    </w:p>
    <w:p w14:paraId="753E6FAC" w14:textId="77777777" w:rsidR="00092A4B" w:rsidRDefault="00092A4B" w:rsidP="00B82E85">
      <w:pPr>
        <w:jc w:val="center"/>
        <w:rPr>
          <w:rFonts w:ascii="Times New Roman" w:eastAsia="Times New Roman" w:hAnsi="Times New Roman" w:cs="Times New Roman"/>
        </w:rPr>
      </w:pPr>
    </w:p>
    <w:p w14:paraId="774F1843" w14:textId="77777777" w:rsidR="00092A4B" w:rsidRDefault="001B2295" w:rsidP="00B82E85">
      <w:pPr>
        <w:jc w:val="both"/>
        <w:rPr>
          <w:rFonts w:ascii="Times New Roman" w:eastAsia="Times New Roman" w:hAnsi="Times New Roman" w:cs="Times New Roman"/>
        </w:rPr>
      </w:pPr>
      <w:r>
        <w:rPr>
          <w:rFonts w:ascii="Times New Roman" w:eastAsia="Times New Roman" w:hAnsi="Times New Roman" w:cs="Times New Roman"/>
        </w:rPr>
        <w:t>Berdasarkan data yang tertera di tabel 2 maka dapat disimpulkan bahwa data penelitian layak untuk dilakukan proses analisis regresi, dimana seluruh syarat uji asumsi klasik terpenuhi</w:t>
      </w:r>
      <w:r>
        <w:rPr>
          <w:rFonts w:ascii="Times New Roman" w:eastAsia="Times New Roman" w:hAnsi="Times New Roman" w:cs="Times New Roman"/>
        </w:rPr>
        <w:t xml:space="preserve"> dengan baik.</w:t>
      </w:r>
    </w:p>
    <w:p w14:paraId="3062A911" w14:textId="77777777" w:rsidR="00092A4B" w:rsidRDefault="00092A4B" w:rsidP="00B82E85">
      <w:pPr>
        <w:jc w:val="both"/>
        <w:rPr>
          <w:rFonts w:ascii="Times New Roman" w:eastAsia="Times New Roman" w:hAnsi="Times New Roman" w:cs="Times New Roman"/>
        </w:rPr>
      </w:pPr>
    </w:p>
    <w:p w14:paraId="53FCCC36"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 xml:space="preserve">Frekuensi Komite Audit dan Nilai Perusahaan </w:t>
      </w:r>
    </w:p>
    <w:p w14:paraId="2433280F" w14:textId="4425C58E"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Komite audit merupakan salah satu mekanisme tata kelola perusahaan yang berfungsi pengawasan pelaporan keuangan sebagai bentuk pengendalian dan antisipasi risiko perusahaan. Berdasarkan </w:t>
      </w:r>
      <w:sdt>
        <w:sdtPr>
          <w:rPr>
            <w:rFonts w:ascii="Times New Roman" w:eastAsia="Times New Roman" w:hAnsi="Times New Roman" w:cs="Times New Roman"/>
            <w:color w:val="000000"/>
          </w:rPr>
          <w:tag w:val="MENDELEY_CITATION_v3_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"/>
          <w:id w:val="-1419170699"/>
          <w:placeholder>
            <w:docPart w:val="DefaultPlaceholder_-1854013440"/>
          </w:placeholder>
        </w:sdtPr>
        <w:sdtEndPr/>
        <w:sdtContent>
          <w:r w:rsidR="00ED16D1" w:rsidRPr="00ED16D1">
            <w:rPr>
              <w:rFonts w:ascii="Times New Roman" w:eastAsia="Times New Roman" w:hAnsi="Times New Roman" w:cs="Times New Roman"/>
              <w:color w:val="000000"/>
            </w:rPr>
            <w:t>Anzelya, (2020)</w:t>
          </w:r>
        </w:sdtContent>
      </w:sdt>
      <w:r>
        <w:rPr>
          <w:rFonts w:ascii="Times New Roman" w:eastAsia="Times New Roman" w:hAnsi="Times New Roman" w:cs="Times New Roman"/>
        </w:rPr>
        <w:t xml:space="preserve">, kehadiran komite audit memperkuat serta memperbaiki mekanisme saling kontrol dalam melindungi pemegang saham dan pemangku kepentingan. Frekuensi rapat komite audit merefleksikan tingkat pengawasan yang dilakukan pada aktivitas perusahaan </w:t>
      </w:r>
      <w:sdt>
        <w:sdtPr>
          <w:rPr>
            <w:rFonts w:ascii="Times New Roman" w:eastAsia="Times New Roman" w:hAnsi="Times New Roman" w:cs="Times New Roman"/>
            <w:color w:val="000000"/>
          </w:rPr>
          <w:tag w:val="MENDELEY_CITATION_v3_eyJjaXRhdGlvbklEIjoiTUVOREVMRVlfQ0lUQVRJT05fYjM5NDFjOWUtNzRjYy00MTdiLWJiYzctNzcxMDE0MmU1NGMx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
          <w:id w:val="20905289"/>
          <w:placeholder>
            <w:docPart w:val="DefaultPlaceholder_-1854013440"/>
          </w:placeholder>
        </w:sdtPr>
        <w:sdtEndPr/>
        <w:sdtContent>
          <w:r w:rsidR="00ED16D1" w:rsidRPr="00ED16D1">
            <w:rPr>
              <w:rFonts w:ascii="Times New Roman" w:eastAsia="Times New Roman" w:hAnsi="Times New Roman" w:cs="Times New Roman"/>
              <w:color w:val="000000"/>
            </w:rPr>
            <w:t>(Rosalina, 2025)</w:t>
          </w:r>
        </w:sdtContent>
      </w:sdt>
      <w:r>
        <w:rPr>
          <w:rFonts w:ascii="Times New Roman" w:eastAsia="Times New Roman" w:hAnsi="Times New Roman" w:cs="Times New Roman"/>
        </w:rPr>
        <w:t xml:space="preserve">. Menurut </w:t>
      </w:r>
      <w:sdt>
        <w:sdtPr>
          <w:rPr>
            <w:rFonts w:ascii="Times New Roman" w:eastAsia="Times New Roman" w:hAnsi="Times New Roman" w:cs="Times New Roman"/>
            <w:color w:val="000000"/>
          </w:rPr>
          <w:tag w:val="MENDELEY_CITATION_v3_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"/>
          <w:id w:val="722561493"/>
          <w:placeholder>
            <w:docPart w:val="DefaultPlaceholder_-1854013440"/>
          </w:placeholder>
        </w:sdtPr>
        <w:sdtEndPr/>
        <w:sdtContent>
          <w:r w:rsidR="00ED16D1" w:rsidRPr="00ED16D1">
            <w:rPr>
              <w:rFonts w:ascii="Times New Roman" w:eastAsia="Times New Roman" w:hAnsi="Times New Roman" w:cs="Times New Roman"/>
              <w:color w:val="000000"/>
            </w:rPr>
            <w:t>Anderson et al., (2003)</w:t>
          </w:r>
        </w:sdtContent>
      </w:sdt>
      <w:r>
        <w:rPr>
          <w:rFonts w:ascii="Times New Roman" w:eastAsia="Times New Roman" w:hAnsi="Times New Roman" w:cs="Times New Roman"/>
        </w:rPr>
        <w:t>, komite audit meningkatkan kepercayaan investor terhadap perusahaan. Investor cenderung memberikan penilaian yang lebih positif terhadap perusahaan yang memiliki mekanisme tata kelola yang baik. Kepercayaan inve</w:t>
      </w:r>
      <w:r>
        <w:rPr>
          <w:rFonts w:ascii="Times New Roman" w:eastAsia="Times New Roman" w:hAnsi="Times New Roman" w:cs="Times New Roman"/>
        </w:rPr>
        <w:t xml:space="preserve">stor tersebut dapat tercermin dalam peningkatan harga saham perusahaan di pasar modal, yang pada akhirnya akan meningkatkan nilai perusahaan </w:t>
      </w:r>
      <w:sdt>
        <w:sdtPr>
          <w:rPr>
            <w:rFonts w:ascii="Times New Roman" w:eastAsia="Times New Roman" w:hAnsi="Times New Roman" w:cs="Times New Roman"/>
            <w:color w:val="000000"/>
          </w:rPr>
          <w:tag w:val="MENDELEY_CITATION_v3_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"/>
          <w:id w:val="1445110596"/>
          <w:placeholder>
            <w:docPart w:val="DefaultPlaceholder_-1854013440"/>
          </w:placeholder>
        </w:sdtPr>
        <w:sdtEndPr/>
        <w:sdtContent>
          <w:r w:rsidR="00ED16D1" w:rsidRPr="00ED16D1">
            <w:rPr>
              <w:rFonts w:ascii="Times New Roman" w:eastAsia="Times New Roman" w:hAnsi="Times New Roman" w:cs="Times New Roman"/>
              <w:color w:val="000000"/>
            </w:rPr>
            <w:t>(Josephine et al., 2019)</w:t>
          </w:r>
        </w:sdtContent>
      </w:sdt>
      <w:r>
        <w:rPr>
          <w:rFonts w:ascii="Times New Roman" w:eastAsia="Times New Roman" w:hAnsi="Times New Roman" w:cs="Times New Roman"/>
        </w:rPr>
        <w:t xml:space="preserve">. Menurut </w:t>
      </w:r>
      <w:sdt>
        <w:sdtPr>
          <w:rPr>
            <w:rFonts w:ascii="Times New Roman" w:eastAsia="Times New Roman" w:hAnsi="Times New Roman" w:cs="Times New Roman"/>
            <w:color w:val="000000"/>
          </w:rPr>
          <w:tag w:val="MENDELEY_CITATION_v3_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"/>
          <w:id w:val="-1848160753"/>
          <w:placeholder>
            <w:docPart w:val="DefaultPlaceholder_-1854013440"/>
          </w:placeholder>
        </w:sdtPr>
        <w:sdtEndPr/>
        <w:sdtContent>
          <w:r w:rsidR="00ED16D1" w:rsidRPr="00ED16D1">
            <w:rPr>
              <w:rFonts w:ascii="Times New Roman" w:eastAsia="Times New Roman" w:hAnsi="Times New Roman" w:cs="Times New Roman"/>
              <w:color w:val="000000"/>
            </w:rPr>
            <w:t>Sapna et al., (2025)</w:t>
          </w:r>
        </w:sdtContent>
      </w:sdt>
      <w:r>
        <w:rPr>
          <w:rFonts w:ascii="Times New Roman" w:eastAsia="Times New Roman" w:hAnsi="Times New Roman" w:cs="Times New Roman"/>
        </w:rPr>
        <w:t>, peningkatan profitabilitas secara langsung berkontribus</w:t>
      </w:r>
      <w:r>
        <w:rPr>
          <w:rFonts w:ascii="Times New Roman" w:eastAsia="Times New Roman" w:hAnsi="Times New Roman" w:cs="Times New Roman"/>
        </w:rPr>
        <w:t>i terhadap peningkatan nilai perusahaan, yang tercermin dari meningkatnya kepercayaan investor dan stabilitas harga saham di pasar modal.</w:t>
      </w:r>
    </w:p>
    <w:p w14:paraId="31C955EC" w14:textId="77777777"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Hasil pengolahan data frekuensi komite audit dan nilai perusahaan terindeks IDX30 periode 2022 – 2024 memberikan hasi</w:t>
      </w:r>
      <w:r>
        <w:rPr>
          <w:rFonts w:ascii="Times New Roman" w:eastAsia="Times New Roman" w:hAnsi="Times New Roman" w:cs="Times New Roman"/>
        </w:rPr>
        <w:t>l korelasi yang sangat lemah (0,1217 &lt; 0,20), sehingga dapat disimpulkan bahwa frekuensi komite audit hanya berkontribusi terhadap perubahan nilai perusahaan sebesar 1,48%. Dengan demikian, perubahan nilai perusahaan dipengaruhi oleh faktor lain, dan freku</w:t>
      </w:r>
      <w:r>
        <w:rPr>
          <w:rFonts w:ascii="Times New Roman" w:eastAsia="Times New Roman" w:hAnsi="Times New Roman" w:cs="Times New Roman"/>
        </w:rPr>
        <w:t>ensi komite audit bukan merupakan faktor yang memberikan dampak yang dominan bagi nilai perusahaan.</w:t>
      </w:r>
    </w:p>
    <w:p w14:paraId="13F21EDF" w14:textId="77777777" w:rsidR="00092A4B" w:rsidRDefault="00092A4B" w:rsidP="00B82E85">
      <w:pPr>
        <w:jc w:val="both"/>
        <w:rPr>
          <w:rFonts w:ascii="Times New Roman" w:eastAsia="Times New Roman" w:hAnsi="Times New Roman" w:cs="Times New Roman"/>
        </w:rPr>
      </w:pPr>
    </w:p>
    <w:p w14:paraId="4A970636" w14:textId="77777777" w:rsidR="00092A4B" w:rsidRDefault="001B2295" w:rsidP="00B82E85">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Tabel 3.</w:t>
      </w:r>
      <w:r>
        <w:rPr>
          <w:rFonts w:ascii="Times New Roman" w:eastAsia="Times New Roman" w:hAnsi="Times New Roman" w:cs="Times New Roman"/>
          <w:color w:val="000000"/>
        </w:rPr>
        <w:t xml:space="preserve"> Frekuensi Komite Audit dan Nilai Perusahaan</w:t>
      </w:r>
    </w:p>
    <w:tbl>
      <w:tblPr>
        <w:tblStyle w:val="a3"/>
        <w:tblW w:w="5809" w:type="dxa"/>
        <w:jc w:val="center"/>
        <w:tblInd w:w="0" w:type="dxa"/>
        <w:tblBorders>
          <w:top w:val="single" w:sz="4" w:space="0" w:color="000000"/>
          <w:bottom w:val="single" w:sz="4" w:space="0" w:color="000000"/>
        </w:tblBorders>
        <w:tblLayout w:type="fixed"/>
        <w:tblLook w:val="04A0" w:firstRow="1" w:lastRow="0" w:firstColumn="1" w:lastColumn="0" w:noHBand="0" w:noVBand="1"/>
      </w:tblPr>
      <w:tblGrid>
        <w:gridCol w:w="510"/>
        <w:gridCol w:w="1944"/>
        <w:gridCol w:w="1432"/>
        <w:gridCol w:w="1923"/>
      </w:tblGrid>
      <w:tr w:rsidR="00092A4B" w14:paraId="1D9CEB94" w14:textId="77777777" w:rsidTr="00092A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1ED61E1C"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1944" w:type="dxa"/>
            <w:shd w:val="clear" w:color="auto" w:fill="auto"/>
          </w:tcPr>
          <w:p w14:paraId="174DDF82"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Statistik</w:t>
            </w:r>
          </w:p>
        </w:tc>
        <w:tc>
          <w:tcPr>
            <w:tcW w:w="1432" w:type="dxa"/>
            <w:shd w:val="clear" w:color="auto" w:fill="auto"/>
          </w:tcPr>
          <w:p w14:paraId="21842EB5" w14:textId="77777777" w:rsidR="00092A4B" w:rsidRDefault="001B2295" w:rsidP="00B82E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Hasil</w:t>
            </w:r>
          </w:p>
        </w:tc>
        <w:tc>
          <w:tcPr>
            <w:tcW w:w="1923" w:type="dxa"/>
            <w:shd w:val="clear" w:color="auto" w:fill="auto"/>
          </w:tcPr>
          <w:p w14:paraId="67009D3C" w14:textId="77777777" w:rsidR="00092A4B" w:rsidRDefault="001B2295" w:rsidP="00B82E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r>
      <w:tr w:rsidR="00092A4B" w14:paraId="58ABC83F" w14:textId="77777777" w:rsidTr="00092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8064C02"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1</w:t>
            </w:r>
          </w:p>
        </w:tc>
        <w:tc>
          <w:tcPr>
            <w:tcW w:w="1944" w:type="dxa"/>
            <w:shd w:val="clear" w:color="auto" w:fill="auto"/>
          </w:tcPr>
          <w:p w14:paraId="149EA7E5"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Korelasi</w:t>
            </w:r>
          </w:p>
        </w:tc>
        <w:tc>
          <w:tcPr>
            <w:tcW w:w="1432" w:type="dxa"/>
            <w:shd w:val="clear" w:color="auto" w:fill="auto"/>
          </w:tcPr>
          <w:p w14:paraId="259BB464" w14:textId="77777777" w:rsidR="00092A4B" w:rsidRDefault="001B2295" w:rsidP="00B82E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0,1217</w:t>
            </w:r>
          </w:p>
        </w:tc>
        <w:tc>
          <w:tcPr>
            <w:tcW w:w="1923" w:type="dxa"/>
            <w:shd w:val="clear" w:color="auto" w:fill="auto"/>
          </w:tcPr>
          <w:p w14:paraId="61641CA5" w14:textId="77777777" w:rsidR="00092A4B" w:rsidRDefault="001B2295" w:rsidP="00B82E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Sangat lemah</w:t>
            </w:r>
          </w:p>
        </w:tc>
      </w:tr>
      <w:tr w:rsidR="00092A4B" w14:paraId="2C49C976" w14:textId="77777777" w:rsidTr="00092A4B">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512DFEB7"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2</w:t>
            </w:r>
          </w:p>
        </w:tc>
        <w:tc>
          <w:tcPr>
            <w:tcW w:w="1944" w:type="dxa"/>
            <w:shd w:val="clear" w:color="auto" w:fill="auto"/>
          </w:tcPr>
          <w:p w14:paraId="6C91868C"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Determinasi</w:t>
            </w:r>
          </w:p>
        </w:tc>
        <w:tc>
          <w:tcPr>
            <w:tcW w:w="1432" w:type="dxa"/>
            <w:shd w:val="clear" w:color="auto" w:fill="auto"/>
          </w:tcPr>
          <w:p w14:paraId="25E3A16C" w14:textId="77777777" w:rsidR="00092A4B" w:rsidRDefault="001B2295" w:rsidP="00B82E8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0,0148</w:t>
            </w:r>
          </w:p>
        </w:tc>
        <w:tc>
          <w:tcPr>
            <w:tcW w:w="1923" w:type="dxa"/>
            <w:shd w:val="clear" w:color="auto" w:fill="auto"/>
          </w:tcPr>
          <w:p w14:paraId="28B469C1" w14:textId="77777777" w:rsidR="00092A4B" w:rsidRDefault="001B2295" w:rsidP="00B82E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Kontribusi 1,48%</w:t>
            </w:r>
          </w:p>
        </w:tc>
      </w:tr>
      <w:tr w:rsidR="00092A4B" w14:paraId="619ED5B7" w14:textId="77777777" w:rsidTr="00092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5C27E20"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3</w:t>
            </w:r>
          </w:p>
        </w:tc>
        <w:tc>
          <w:tcPr>
            <w:tcW w:w="1944" w:type="dxa"/>
            <w:shd w:val="clear" w:color="auto" w:fill="auto"/>
          </w:tcPr>
          <w:p w14:paraId="316D4554"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Arah hubungan</w:t>
            </w:r>
          </w:p>
        </w:tc>
        <w:tc>
          <w:tcPr>
            <w:tcW w:w="1432" w:type="dxa"/>
            <w:shd w:val="clear" w:color="auto" w:fill="auto"/>
          </w:tcPr>
          <w:p w14:paraId="480967BB" w14:textId="77777777" w:rsidR="00092A4B" w:rsidRDefault="001B2295" w:rsidP="00B82E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Negatif</w:t>
            </w:r>
          </w:p>
        </w:tc>
        <w:tc>
          <w:tcPr>
            <w:tcW w:w="1923" w:type="dxa"/>
            <w:shd w:val="clear" w:color="auto" w:fill="auto"/>
          </w:tcPr>
          <w:p w14:paraId="2BDD3DF6" w14:textId="77777777" w:rsidR="00092A4B" w:rsidRDefault="001B2295" w:rsidP="00B82E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Berlawanan</w:t>
            </w:r>
          </w:p>
        </w:tc>
      </w:tr>
      <w:tr w:rsidR="00092A4B" w14:paraId="2B31DB2C" w14:textId="77777777" w:rsidTr="00092A4B">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579B509"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lastRenderedPageBreak/>
              <w:t>4</w:t>
            </w:r>
          </w:p>
        </w:tc>
        <w:tc>
          <w:tcPr>
            <w:tcW w:w="1944" w:type="dxa"/>
            <w:shd w:val="clear" w:color="auto" w:fill="auto"/>
          </w:tcPr>
          <w:p w14:paraId="4922CECB"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Signifikansi</w:t>
            </w:r>
          </w:p>
        </w:tc>
        <w:tc>
          <w:tcPr>
            <w:tcW w:w="1432" w:type="dxa"/>
            <w:shd w:val="clear" w:color="auto" w:fill="auto"/>
          </w:tcPr>
          <w:p w14:paraId="5764283F" w14:textId="77777777" w:rsidR="00092A4B" w:rsidRDefault="001B2295" w:rsidP="00B82E8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0,319 &gt; 0,05</w:t>
            </w:r>
          </w:p>
        </w:tc>
        <w:tc>
          <w:tcPr>
            <w:tcW w:w="1923" w:type="dxa"/>
            <w:shd w:val="clear" w:color="auto" w:fill="auto"/>
          </w:tcPr>
          <w:p w14:paraId="3868E54F" w14:textId="77777777" w:rsidR="00092A4B" w:rsidRDefault="001B2295" w:rsidP="00B82E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signifikan</w:t>
            </w:r>
          </w:p>
        </w:tc>
      </w:tr>
    </w:tbl>
    <w:p w14:paraId="32B1E7CC" w14:textId="77777777" w:rsidR="00092A4B" w:rsidRDefault="001B2295" w:rsidP="00B82E85">
      <w:pPr>
        <w:jc w:val="center"/>
        <w:rPr>
          <w:rFonts w:ascii="Times New Roman" w:eastAsia="Times New Roman" w:hAnsi="Times New Roman" w:cs="Times New Roman"/>
        </w:rPr>
      </w:pPr>
      <w:r>
        <w:rPr>
          <w:rFonts w:ascii="Times New Roman" w:eastAsia="Times New Roman" w:hAnsi="Times New Roman" w:cs="Times New Roman"/>
          <w:b/>
          <w:bCs/>
        </w:rPr>
        <w:t xml:space="preserve">Sumber: </w:t>
      </w:r>
      <w:r>
        <w:rPr>
          <w:rFonts w:ascii="Times New Roman" w:eastAsia="Times New Roman" w:hAnsi="Times New Roman" w:cs="Times New Roman"/>
        </w:rPr>
        <w:t>Diolah oleh penulis, 2026</w:t>
      </w:r>
    </w:p>
    <w:p w14:paraId="6E165B84" w14:textId="77777777" w:rsidR="00092A4B" w:rsidRDefault="00092A4B" w:rsidP="00B82E85">
      <w:pPr>
        <w:rPr>
          <w:rFonts w:ascii="Times New Roman" w:eastAsia="Times New Roman" w:hAnsi="Times New Roman" w:cs="Times New Roman"/>
        </w:rPr>
      </w:pPr>
    </w:p>
    <w:p w14:paraId="6AC1D20F" w14:textId="0B4B45C3"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Arah hubungan yang menandakan negatif memberikan makna bahwa peningkatan jumlah frekuensi komite audit berdampak pada </w:t>
      </w:r>
      <w:r>
        <w:rPr>
          <w:rFonts w:ascii="Times New Roman" w:eastAsia="Times New Roman" w:hAnsi="Times New Roman" w:cs="Times New Roman"/>
        </w:rPr>
        <w:t>penurunan nilai perusahaan dengan hasil yang tidak signifikan. Dapat diambil kesimpulan bahwa, peningkatan frekuensi komite audit menandakan adanya kondisi perusahaan yang kurang baik, sehingga komite audit harus sering berkumpul untuk mendapatkan solusi t</w:t>
      </w:r>
      <w:r>
        <w:rPr>
          <w:rFonts w:ascii="Times New Roman" w:eastAsia="Times New Roman" w:hAnsi="Times New Roman" w:cs="Times New Roman"/>
        </w:rPr>
        <w:t>erbaik bagi perusahaan. Di sisi lain, nilai perusahaan terindeks IDX30 bukan dipengaruhi oleh frekuensi komite audit karena perusahaan tersebut sudah jelas memenuhui kriteria memiliki likuiditas yang tinggi, market capital yang terbesar dan didukung oleh f</w:t>
      </w:r>
      <w:r>
        <w:rPr>
          <w:rFonts w:ascii="Times New Roman" w:eastAsia="Times New Roman" w:hAnsi="Times New Roman" w:cs="Times New Roman"/>
        </w:rPr>
        <w:t xml:space="preserve">undamental perusahaan yang baik, sehingga frekuensi komite audit tidak memberikan pengaruh langsung bagi nilai pasar. Hasil penelitian ini tidak bias mendukung penelitian terdahulu yang telah dilakukan oleh </w:t>
      </w:r>
      <w:sdt>
        <w:sdtPr>
          <w:rPr>
            <w:rFonts w:ascii="Times New Roman" w:eastAsia="Times New Roman" w:hAnsi="Times New Roman" w:cs="Times New Roman"/>
            <w:color w:val="000000"/>
          </w:rPr>
          <w:tag w:val="MENDELEY_CITATION_v3_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"/>
          <w:id w:val="-1599557207"/>
          <w:placeholder>
            <w:docPart w:val="DefaultPlaceholder_-1854013440"/>
          </w:placeholder>
        </w:sdtPr>
        <w:sdtEndPr/>
        <w:sdtContent>
          <w:r w:rsidR="00ED16D1" w:rsidRPr="00ED16D1">
            <w:rPr>
              <w:rFonts w:ascii="Times New Roman" w:eastAsia="Times New Roman" w:hAnsi="Times New Roman" w:cs="Times New Roman"/>
              <w:color w:val="000000"/>
            </w:rPr>
            <w:t>(Josephine et al., 2019)</w:t>
          </w:r>
        </w:sdtContent>
      </w:sdt>
      <w:r>
        <w:rPr>
          <w:rFonts w:ascii="Times New Roman" w:eastAsia="Times New Roman" w:hAnsi="Times New Roman" w:cs="Times New Roman"/>
        </w:rPr>
        <w:t>.</w:t>
      </w:r>
    </w:p>
    <w:p w14:paraId="28A47413" w14:textId="77777777" w:rsidR="00092A4B" w:rsidRDefault="00092A4B" w:rsidP="00B82E85">
      <w:pPr>
        <w:jc w:val="both"/>
        <w:rPr>
          <w:rFonts w:ascii="Times New Roman" w:eastAsia="Times New Roman" w:hAnsi="Times New Roman" w:cs="Times New Roman"/>
        </w:rPr>
      </w:pPr>
    </w:p>
    <w:p w14:paraId="4805C296" w14:textId="77777777" w:rsidR="00092A4B" w:rsidRDefault="001B2295" w:rsidP="00B82E85">
      <w:pPr>
        <w:jc w:val="both"/>
        <w:rPr>
          <w:rFonts w:ascii="Times New Roman" w:eastAsia="Times New Roman" w:hAnsi="Times New Roman" w:cs="Times New Roman"/>
          <w:b/>
          <w:bCs/>
        </w:rPr>
      </w:pPr>
      <w:r>
        <w:rPr>
          <w:rFonts w:ascii="Times New Roman" w:eastAsia="Times New Roman" w:hAnsi="Times New Roman" w:cs="Times New Roman"/>
          <w:b/>
          <w:bCs/>
        </w:rPr>
        <w:t xml:space="preserve">Sustainability </w:t>
      </w:r>
      <w:r>
        <w:rPr>
          <w:rFonts w:ascii="Times New Roman" w:eastAsia="Times New Roman" w:hAnsi="Times New Roman" w:cs="Times New Roman"/>
          <w:b/>
          <w:bCs/>
        </w:rPr>
        <w:t>report assurance dan Nilai Perusahaan</w:t>
      </w:r>
    </w:p>
    <w:p w14:paraId="2006CB7C" w14:textId="53DA3EC1"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Menurut penelitian yang dilakukan oleh </w:t>
      </w:r>
      <w:sdt>
        <w:sdtPr>
          <w:rPr>
            <w:rFonts w:ascii="Times New Roman" w:eastAsia="Times New Roman" w:hAnsi="Times New Roman" w:cs="Times New Roman"/>
            <w:color w:val="000000"/>
          </w:rPr>
          <w:tag w:val="MENDELEY_CITATION_v3_eyJjaXRhdGlvbklEIjoiTUVOREVMRVlfQ0lUQVRJT05fOWVmNDdmNWItMzZlYi00NDk3LTk5NjktNTZlNTExZDk2NzQ2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
          <w:id w:val="-542676820"/>
          <w:placeholder>
            <w:docPart w:val="DefaultPlaceholder_-1854013440"/>
          </w:placeholder>
        </w:sdtPr>
        <w:sdtEndPr/>
        <w:sdtContent>
          <w:r w:rsidR="00ED16D1" w:rsidRPr="00ED16D1">
            <w:rPr>
              <w:rFonts w:ascii="Times New Roman" w:eastAsia="Times New Roman" w:hAnsi="Times New Roman" w:cs="Times New Roman"/>
              <w:color w:val="000000"/>
            </w:rPr>
            <w:t>Sìmnett et al., (2009)</w:t>
          </w:r>
        </w:sdtContent>
      </w:sdt>
      <w:r>
        <w:rPr>
          <w:rFonts w:ascii="Times New Roman" w:eastAsia="Times New Roman" w:hAnsi="Times New Roman" w:cs="Times New Roman"/>
        </w:rPr>
        <w:t>, perusahaan yang melakukan assurance terhadap sustainability report cenderung memiliki tingkat transparansi yang lebih tinggi karena informasi keberlanjut</w:t>
      </w:r>
      <w:r>
        <w:rPr>
          <w:rFonts w:ascii="Times New Roman" w:eastAsia="Times New Roman" w:hAnsi="Times New Roman" w:cs="Times New Roman"/>
        </w:rPr>
        <w:t xml:space="preserve">an yang disajikan telah melalui proses verifikasi oleh pihak independen. Proses assurance tersebut dapat meningkatkan kredibilitas laporan keberlanjutan serta memberikan keyakinan tambahan kepada para pemangku kepentingan mengenai keandalan informasi yang </w:t>
      </w:r>
      <w:r>
        <w:rPr>
          <w:rFonts w:ascii="Times New Roman" w:eastAsia="Times New Roman" w:hAnsi="Times New Roman" w:cs="Times New Roman"/>
        </w:rPr>
        <w:t>disampaikan perusahaan.</w:t>
      </w:r>
    </w:p>
    <w:p w14:paraId="3D7896C4" w14:textId="72E81013"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Selaras dengan teori sinyal, usaha inovasi hijau (sustainability report assurance) juga menyampaikan pesan positif yang mampu menggugah minat para investor </w:t>
      </w:r>
      <w:sdt>
        <w:sdtPr>
          <w:rPr>
            <w:rFonts w:ascii="Times New Roman" w:eastAsia="Times New Roman" w:hAnsi="Times New Roman" w:cs="Times New Roman"/>
            <w:color w:val="000000"/>
          </w:rPr>
          <w:tag w:val="MENDELEY_CITATION_v3_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"/>
          <w:id w:val="212315037"/>
          <w:placeholder>
            <w:docPart w:val="DefaultPlaceholder_-1854013440"/>
          </w:placeholder>
        </w:sdtPr>
        <w:sdtEndPr/>
        <w:sdtContent>
          <w:r w:rsidR="00ED16D1" w:rsidRPr="00ED16D1">
            <w:rPr>
              <w:rFonts w:ascii="Times New Roman" w:eastAsia="Times New Roman" w:hAnsi="Times New Roman" w:cs="Times New Roman"/>
              <w:color w:val="000000"/>
            </w:rPr>
            <w:t>(Anggraini &amp; Arieftiara, 2023)</w:t>
          </w:r>
        </w:sdtContent>
      </w:sdt>
      <w:r>
        <w:rPr>
          <w:rFonts w:ascii="Times New Roman" w:eastAsia="Times New Roman" w:hAnsi="Times New Roman" w:cs="Times New Roman"/>
        </w:rPr>
        <w:t>. Dengan melakukan assurance terhadap lapor</w:t>
      </w:r>
      <w:r>
        <w:rPr>
          <w:rFonts w:ascii="Times New Roman" w:eastAsia="Times New Roman" w:hAnsi="Times New Roman" w:cs="Times New Roman"/>
        </w:rPr>
        <w:t>an keberlanjutan, perusahaan menunjukkan komitmennya terhadap transparansi, akuntabilitas, serta praktik bisnis yang berkelanjutan. Sinyal positif ini dapat meningkatkan kepercayaan investor terhadap perusahaan. Dikarenakan adanya aturan yang ketat, keyaki</w:t>
      </w:r>
      <w:r>
        <w:rPr>
          <w:rFonts w:ascii="Times New Roman" w:eastAsia="Times New Roman" w:hAnsi="Times New Roman" w:cs="Times New Roman"/>
        </w:rPr>
        <w:t xml:space="preserve">nan investor terhadap pasar saham semakin tumbuh </w:t>
      </w:r>
      <w:sdt>
        <w:sdtPr>
          <w:rPr>
            <w:rFonts w:ascii="Times New Roman" w:eastAsia="Times New Roman" w:hAnsi="Times New Roman" w:cs="Times New Roman"/>
            <w:color w:val="000000"/>
          </w:rPr>
          <w:tag w:val="MENDELEY_CITATION_v3_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"/>
          <w:id w:val="-127551080"/>
          <w:placeholder>
            <w:docPart w:val="DefaultPlaceholder_-1854013440"/>
          </w:placeholder>
        </w:sdtPr>
        <w:sdtEndPr/>
        <w:sdtContent>
          <w:r w:rsidR="00ED16D1" w:rsidRPr="00ED16D1">
            <w:rPr>
              <w:rFonts w:ascii="Times New Roman" w:eastAsia="Times New Roman" w:hAnsi="Times New Roman" w:cs="Times New Roman"/>
              <w:color w:val="000000"/>
            </w:rPr>
            <w:t>(Purnamasari, 2025)</w:t>
          </w:r>
        </w:sdtContent>
      </w:sdt>
      <w:r>
        <w:rPr>
          <w:rFonts w:ascii="Times New Roman" w:eastAsia="Times New Roman" w:hAnsi="Times New Roman" w:cs="Times New Roman"/>
        </w:rPr>
        <w:t xml:space="preserve">. Menurut </w:t>
      </w:r>
      <w:sdt>
        <w:sdtPr>
          <w:rPr>
            <w:rFonts w:ascii="Times New Roman" w:eastAsia="Times New Roman" w:hAnsi="Times New Roman" w:cs="Times New Roman"/>
            <w:color w:val="000000"/>
          </w:rPr>
          <w:tag w:val="MENDELEY_CITATION_v3_eyJjaXRhdGlvbklEIjoiTUVOREVMRVlfQ0lUQVRJT05fMzliZGNmMTAtMmMwOC00YTFkLThkYmEtZjVhOGViOTgzOThh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
          <w:id w:val="598911530"/>
          <w:placeholder>
            <w:docPart w:val="DefaultPlaceholder_-1854013440"/>
          </w:placeholder>
        </w:sdtPr>
        <w:sdtEndPr/>
        <w:sdtContent>
          <w:r w:rsidR="00ED16D1" w:rsidRPr="00ED16D1">
            <w:rPr>
              <w:rFonts w:ascii="Times New Roman" w:eastAsia="Times New Roman" w:hAnsi="Times New Roman" w:cs="Times New Roman"/>
              <w:color w:val="000000"/>
            </w:rPr>
            <w:t>Manurung et al., (2025)</w:t>
          </w:r>
        </w:sdtContent>
      </w:sdt>
      <w:r>
        <w:rPr>
          <w:rFonts w:ascii="Times New Roman" w:eastAsia="Times New Roman" w:hAnsi="Times New Roman" w:cs="Times New Roman"/>
        </w:rPr>
        <w:t>, sustainability report assurance memiliki dampak positif terhadap nilai perusahaan (contohnya dalam sektor eksplorasi mineral), tetapi penelitian lain</w:t>
      </w:r>
      <w:r>
        <w:rPr>
          <w:rFonts w:ascii="Times New Roman" w:eastAsia="Times New Roman" w:hAnsi="Times New Roman" w:cs="Times New Roman"/>
        </w:rPr>
        <w:t xml:space="preserve"> menunjukkan bahwa dampaknya tidak signifikan atau bahkan nihil (seperti studi yang dilakukan pada perusahaan pertambangan antara tahun 2019 hingga 2021). Sinyal positif tersebut dapat meningkatkan reputasi perusahaan serta kepercayaan investor, yang pada </w:t>
      </w:r>
      <w:r>
        <w:rPr>
          <w:rFonts w:ascii="Times New Roman" w:eastAsia="Times New Roman" w:hAnsi="Times New Roman" w:cs="Times New Roman"/>
        </w:rPr>
        <w:t>akhirnya dapat berdampak pada peningkatan nilai perusahaan.</w:t>
      </w:r>
    </w:p>
    <w:p w14:paraId="563CC38E" w14:textId="77777777" w:rsidR="00092A4B" w:rsidRDefault="00092A4B" w:rsidP="00B82E85">
      <w:pPr>
        <w:jc w:val="both"/>
        <w:rPr>
          <w:rFonts w:ascii="Times New Roman" w:eastAsia="Times New Roman" w:hAnsi="Times New Roman" w:cs="Times New Roman"/>
        </w:rPr>
      </w:pPr>
    </w:p>
    <w:p w14:paraId="7426FD11" w14:textId="77777777" w:rsidR="00092A4B" w:rsidRDefault="001B2295" w:rsidP="00B82E85">
      <w:pPr>
        <w:jc w:val="center"/>
        <w:rPr>
          <w:rFonts w:ascii="Times New Roman" w:eastAsia="Times New Roman" w:hAnsi="Times New Roman" w:cs="Times New Roman"/>
          <w:b/>
          <w:bCs/>
        </w:rPr>
      </w:pPr>
      <w:r>
        <w:rPr>
          <w:rFonts w:ascii="Times New Roman" w:eastAsia="Times New Roman" w:hAnsi="Times New Roman" w:cs="Times New Roman"/>
          <w:b/>
          <w:bCs/>
        </w:rPr>
        <w:t>Tabel 4.</w:t>
      </w:r>
      <w:r>
        <w:rPr>
          <w:rFonts w:ascii="Times New Roman" w:eastAsia="Times New Roman" w:hAnsi="Times New Roman" w:cs="Times New Roman"/>
        </w:rPr>
        <w:t xml:space="preserve"> </w:t>
      </w:r>
      <w:r>
        <w:rPr>
          <w:rFonts w:ascii="Times New Roman" w:eastAsia="Times New Roman" w:hAnsi="Times New Roman" w:cs="Times New Roman"/>
          <w:i/>
          <w:iCs/>
        </w:rPr>
        <w:t xml:space="preserve">Sustainability report assurance </w:t>
      </w:r>
      <w:r>
        <w:rPr>
          <w:rFonts w:ascii="Times New Roman" w:eastAsia="Times New Roman" w:hAnsi="Times New Roman" w:cs="Times New Roman"/>
        </w:rPr>
        <w:t>dan Nilai Perusahaan</w:t>
      </w:r>
    </w:p>
    <w:tbl>
      <w:tblPr>
        <w:tblStyle w:val="a4"/>
        <w:tblW w:w="5809" w:type="dxa"/>
        <w:jc w:val="center"/>
        <w:tblInd w:w="0" w:type="dxa"/>
        <w:tblBorders>
          <w:top w:val="single" w:sz="4" w:space="0" w:color="000000"/>
          <w:bottom w:val="single" w:sz="4" w:space="0" w:color="000000"/>
        </w:tblBorders>
        <w:tblLayout w:type="fixed"/>
        <w:tblLook w:val="04A0" w:firstRow="1" w:lastRow="0" w:firstColumn="1" w:lastColumn="0" w:noHBand="0" w:noVBand="1"/>
      </w:tblPr>
      <w:tblGrid>
        <w:gridCol w:w="510"/>
        <w:gridCol w:w="1944"/>
        <w:gridCol w:w="1432"/>
        <w:gridCol w:w="1923"/>
      </w:tblGrid>
      <w:tr w:rsidR="00092A4B" w14:paraId="13BFF1DC" w14:textId="77777777" w:rsidTr="00092A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16C77741"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1944" w:type="dxa"/>
            <w:shd w:val="clear" w:color="auto" w:fill="auto"/>
          </w:tcPr>
          <w:p w14:paraId="7D36B8AC" w14:textId="77777777" w:rsidR="00092A4B" w:rsidRDefault="001B2295" w:rsidP="00B82E8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Statistik</w:t>
            </w:r>
          </w:p>
        </w:tc>
        <w:tc>
          <w:tcPr>
            <w:tcW w:w="1432" w:type="dxa"/>
            <w:shd w:val="clear" w:color="auto" w:fill="auto"/>
          </w:tcPr>
          <w:p w14:paraId="3757AA4D" w14:textId="77777777" w:rsidR="00092A4B" w:rsidRDefault="001B2295" w:rsidP="00B82E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Hasil</w:t>
            </w:r>
          </w:p>
        </w:tc>
        <w:tc>
          <w:tcPr>
            <w:tcW w:w="1923" w:type="dxa"/>
            <w:shd w:val="clear" w:color="auto" w:fill="auto"/>
          </w:tcPr>
          <w:p w14:paraId="392D23B7" w14:textId="77777777" w:rsidR="00092A4B" w:rsidRDefault="001B2295" w:rsidP="00B82E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r>
      <w:tr w:rsidR="00092A4B" w14:paraId="5EBFB53B" w14:textId="77777777" w:rsidTr="00092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45AE383F"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1</w:t>
            </w:r>
          </w:p>
        </w:tc>
        <w:tc>
          <w:tcPr>
            <w:tcW w:w="1944" w:type="dxa"/>
            <w:shd w:val="clear" w:color="auto" w:fill="auto"/>
          </w:tcPr>
          <w:p w14:paraId="47B0B2FC"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Korelasi</w:t>
            </w:r>
          </w:p>
        </w:tc>
        <w:tc>
          <w:tcPr>
            <w:tcW w:w="1432" w:type="dxa"/>
            <w:shd w:val="clear" w:color="auto" w:fill="auto"/>
          </w:tcPr>
          <w:p w14:paraId="60CF4F2D" w14:textId="77777777" w:rsidR="00092A4B" w:rsidRDefault="001B2295" w:rsidP="00B82E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0,1531</w:t>
            </w:r>
          </w:p>
        </w:tc>
        <w:tc>
          <w:tcPr>
            <w:tcW w:w="1923" w:type="dxa"/>
            <w:shd w:val="clear" w:color="auto" w:fill="auto"/>
          </w:tcPr>
          <w:p w14:paraId="0C1D6531" w14:textId="77777777" w:rsidR="00092A4B" w:rsidRDefault="001B2295" w:rsidP="00B82E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Sangat lemah</w:t>
            </w:r>
          </w:p>
        </w:tc>
      </w:tr>
      <w:tr w:rsidR="00092A4B" w14:paraId="3B1D3F6C" w14:textId="77777777" w:rsidTr="00092A4B">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7B988D9E"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2</w:t>
            </w:r>
          </w:p>
        </w:tc>
        <w:tc>
          <w:tcPr>
            <w:tcW w:w="1944" w:type="dxa"/>
            <w:shd w:val="clear" w:color="auto" w:fill="auto"/>
          </w:tcPr>
          <w:p w14:paraId="267DE9E6"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Determinasi</w:t>
            </w:r>
          </w:p>
        </w:tc>
        <w:tc>
          <w:tcPr>
            <w:tcW w:w="1432" w:type="dxa"/>
            <w:shd w:val="clear" w:color="auto" w:fill="auto"/>
          </w:tcPr>
          <w:p w14:paraId="4782EE00" w14:textId="77777777" w:rsidR="00092A4B" w:rsidRDefault="001B2295" w:rsidP="00B82E8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0,0234</w:t>
            </w:r>
          </w:p>
        </w:tc>
        <w:tc>
          <w:tcPr>
            <w:tcW w:w="1923" w:type="dxa"/>
            <w:shd w:val="clear" w:color="auto" w:fill="auto"/>
          </w:tcPr>
          <w:p w14:paraId="04F160DA" w14:textId="77777777" w:rsidR="00092A4B" w:rsidRDefault="001B2295" w:rsidP="00B82E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Kontribusi 2,34%</w:t>
            </w:r>
          </w:p>
        </w:tc>
      </w:tr>
      <w:tr w:rsidR="00092A4B" w14:paraId="18A25132" w14:textId="77777777" w:rsidTr="00092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6C16DCDC"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3</w:t>
            </w:r>
          </w:p>
        </w:tc>
        <w:tc>
          <w:tcPr>
            <w:tcW w:w="1944" w:type="dxa"/>
            <w:shd w:val="clear" w:color="auto" w:fill="auto"/>
          </w:tcPr>
          <w:p w14:paraId="4423E0D4" w14:textId="77777777" w:rsidR="00092A4B" w:rsidRDefault="001B2295" w:rsidP="00B82E8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Arah hubungan</w:t>
            </w:r>
          </w:p>
        </w:tc>
        <w:tc>
          <w:tcPr>
            <w:tcW w:w="1432" w:type="dxa"/>
            <w:shd w:val="clear" w:color="auto" w:fill="auto"/>
          </w:tcPr>
          <w:p w14:paraId="2F74F710" w14:textId="77777777" w:rsidR="00092A4B" w:rsidRDefault="001B2295" w:rsidP="00B82E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Negatif</w:t>
            </w:r>
          </w:p>
        </w:tc>
        <w:tc>
          <w:tcPr>
            <w:tcW w:w="1923" w:type="dxa"/>
            <w:shd w:val="clear" w:color="auto" w:fill="auto"/>
          </w:tcPr>
          <w:p w14:paraId="3536F6AE" w14:textId="77777777" w:rsidR="00092A4B" w:rsidRDefault="001B2295" w:rsidP="00B82E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Berlawanan</w:t>
            </w:r>
          </w:p>
        </w:tc>
      </w:tr>
      <w:tr w:rsidR="00092A4B" w14:paraId="5B506A5E" w14:textId="77777777" w:rsidTr="00092A4B">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611B8CB" w14:textId="77777777" w:rsidR="00092A4B" w:rsidRDefault="001B2295" w:rsidP="00B82E85">
            <w:pPr>
              <w:jc w:val="both"/>
              <w:rPr>
                <w:rFonts w:ascii="Times New Roman" w:eastAsia="Times New Roman" w:hAnsi="Times New Roman" w:cs="Times New Roman"/>
                <w:sz w:val="24"/>
                <w:szCs w:val="24"/>
              </w:rPr>
            </w:pPr>
            <w:r>
              <w:rPr>
                <w:rFonts w:ascii="Times New Roman" w:eastAsia="Times New Roman" w:hAnsi="Times New Roman" w:cs="Times New Roman"/>
                <w:b w:val="0"/>
                <w:bCs w:val="0"/>
                <w:sz w:val="24"/>
                <w:szCs w:val="24"/>
              </w:rPr>
              <w:t>4</w:t>
            </w:r>
          </w:p>
        </w:tc>
        <w:tc>
          <w:tcPr>
            <w:tcW w:w="1944" w:type="dxa"/>
            <w:shd w:val="clear" w:color="auto" w:fill="auto"/>
          </w:tcPr>
          <w:p w14:paraId="10EAFE1E" w14:textId="77777777" w:rsidR="00092A4B" w:rsidRDefault="001B2295" w:rsidP="00B82E8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Signifikansi</w:t>
            </w:r>
          </w:p>
        </w:tc>
        <w:tc>
          <w:tcPr>
            <w:tcW w:w="1432" w:type="dxa"/>
            <w:shd w:val="clear" w:color="auto" w:fill="auto"/>
          </w:tcPr>
          <w:p w14:paraId="22238B7C" w14:textId="77777777" w:rsidR="00092A4B" w:rsidRDefault="001B2295" w:rsidP="00B82E8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0,209 &gt; 0,05</w:t>
            </w:r>
          </w:p>
        </w:tc>
        <w:tc>
          <w:tcPr>
            <w:tcW w:w="1923" w:type="dxa"/>
            <w:shd w:val="clear" w:color="auto" w:fill="auto"/>
          </w:tcPr>
          <w:p w14:paraId="48AACB92" w14:textId="77777777" w:rsidR="00092A4B" w:rsidRDefault="001B2295" w:rsidP="00B82E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signifikan</w:t>
            </w:r>
          </w:p>
        </w:tc>
      </w:tr>
    </w:tbl>
    <w:p w14:paraId="370D792E" w14:textId="77777777" w:rsidR="00092A4B" w:rsidRDefault="001B2295" w:rsidP="00B82E85">
      <w:pPr>
        <w:jc w:val="center"/>
        <w:rPr>
          <w:rFonts w:ascii="Times New Roman" w:eastAsia="Times New Roman" w:hAnsi="Times New Roman" w:cs="Times New Roman"/>
        </w:rPr>
      </w:pPr>
      <w:r>
        <w:rPr>
          <w:rFonts w:ascii="Times New Roman" w:eastAsia="Times New Roman" w:hAnsi="Times New Roman" w:cs="Times New Roman"/>
          <w:b/>
          <w:bCs/>
        </w:rPr>
        <w:t xml:space="preserve">Sumber: </w:t>
      </w:r>
      <w:r>
        <w:rPr>
          <w:rFonts w:ascii="Times New Roman" w:eastAsia="Times New Roman" w:hAnsi="Times New Roman" w:cs="Times New Roman"/>
        </w:rPr>
        <w:t>Diolah oleh penulis, 2026</w:t>
      </w:r>
    </w:p>
    <w:p w14:paraId="1AEEBC2B" w14:textId="77777777" w:rsidR="00092A4B" w:rsidRDefault="00092A4B" w:rsidP="00B82E85">
      <w:pPr>
        <w:jc w:val="center"/>
        <w:rPr>
          <w:rFonts w:ascii="Times New Roman" w:eastAsia="Times New Roman" w:hAnsi="Times New Roman" w:cs="Times New Roman"/>
        </w:rPr>
      </w:pPr>
    </w:p>
    <w:p w14:paraId="53B58B05" w14:textId="77777777"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Hasil pengolahan data </w:t>
      </w:r>
      <w:r>
        <w:rPr>
          <w:rFonts w:ascii="Times New Roman" w:eastAsia="Times New Roman" w:hAnsi="Times New Roman" w:cs="Times New Roman"/>
          <w:i/>
          <w:iCs/>
        </w:rPr>
        <w:t xml:space="preserve">sustainability report assurance </w:t>
      </w:r>
      <w:r>
        <w:rPr>
          <w:rFonts w:ascii="Times New Roman" w:eastAsia="Times New Roman" w:hAnsi="Times New Roman" w:cs="Times New Roman"/>
        </w:rPr>
        <w:t>dan nilai perusahaan terindeks IDX30 periode 2022 – 2024 memberikan hasil korelasi yang sangat lemah</w:t>
      </w:r>
      <w:r>
        <w:rPr>
          <w:rFonts w:ascii="Times New Roman" w:eastAsia="Times New Roman" w:hAnsi="Times New Roman" w:cs="Times New Roman"/>
        </w:rPr>
        <w:t xml:space="preserve"> (0,1531 &lt; 0,20), sehingga dapat disimpulkan bahwa </w:t>
      </w:r>
      <w:r>
        <w:rPr>
          <w:rFonts w:ascii="Times New Roman" w:eastAsia="Times New Roman" w:hAnsi="Times New Roman" w:cs="Times New Roman"/>
          <w:i/>
          <w:iCs/>
        </w:rPr>
        <w:t xml:space="preserve">sustainability report assurance </w:t>
      </w:r>
      <w:r>
        <w:rPr>
          <w:rFonts w:ascii="Times New Roman" w:eastAsia="Times New Roman" w:hAnsi="Times New Roman" w:cs="Times New Roman"/>
        </w:rPr>
        <w:t xml:space="preserve">hanya berkontribusi terhadap perubahan nilai perusahaan sebesar 2,34%. Dengan demikian, perubahan nilai perusahaan dipengaruhi oleh faktor lain, dan </w:t>
      </w:r>
      <w:r>
        <w:rPr>
          <w:rFonts w:ascii="Times New Roman" w:eastAsia="Times New Roman" w:hAnsi="Times New Roman" w:cs="Times New Roman"/>
          <w:i/>
          <w:iCs/>
        </w:rPr>
        <w:t>sustainability report as</w:t>
      </w:r>
      <w:r>
        <w:rPr>
          <w:rFonts w:ascii="Times New Roman" w:eastAsia="Times New Roman" w:hAnsi="Times New Roman" w:cs="Times New Roman"/>
          <w:i/>
          <w:iCs/>
        </w:rPr>
        <w:t>surance</w:t>
      </w:r>
      <w:r>
        <w:rPr>
          <w:rFonts w:ascii="Times New Roman" w:eastAsia="Times New Roman" w:hAnsi="Times New Roman" w:cs="Times New Roman"/>
        </w:rPr>
        <w:t xml:space="preserve"> bukan merupakan faktor yang </w:t>
      </w:r>
      <w:r>
        <w:rPr>
          <w:rFonts w:ascii="Times New Roman" w:eastAsia="Times New Roman" w:hAnsi="Times New Roman" w:cs="Times New Roman"/>
        </w:rPr>
        <w:lastRenderedPageBreak/>
        <w:t xml:space="preserve">memberikan dampak yang dominan bagi nilai perusahaan. </w:t>
      </w:r>
    </w:p>
    <w:p w14:paraId="6D9BECAB" w14:textId="4A006E58"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Arah hubungan yang menandakan negatif memberikan makna bahwa penurunan jumlah </w:t>
      </w:r>
      <w:r>
        <w:rPr>
          <w:rFonts w:ascii="Times New Roman" w:eastAsia="Times New Roman" w:hAnsi="Times New Roman" w:cs="Times New Roman"/>
          <w:i/>
          <w:iCs/>
        </w:rPr>
        <w:t xml:space="preserve">sustainability report assurance </w:t>
      </w:r>
      <w:r>
        <w:rPr>
          <w:rFonts w:ascii="Times New Roman" w:eastAsia="Times New Roman" w:hAnsi="Times New Roman" w:cs="Times New Roman"/>
        </w:rPr>
        <w:t xml:space="preserve">berdampak pada peningkatan nilai perusahaan dengan </w:t>
      </w:r>
      <w:r>
        <w:rPr>
          <w:rFonts w:ascii="Times New Roman" w:eastAsia="Times New Roman" w:hAnsi="Times New Roman" w:cs="Times New Roman"/>
        </w:rPr>
        <w:t xml:space="preserve">hasil yang tidak signifikan. Dapat diambil kesimpulan bahwa, penurunan </w:t>
      </w:r>
      <w:r>
        <w:rPr>
          <w:rFonts w:ascii="Times New Roman" w:eastAsia="Times New Roman" w:hAnsi="Times New Roman" w:cs="Times New Roman"/>
          <w:i/>
          <w:iCs/>
        </w:rPr>
        <w:t>sustainability report assurance</w:t>
      </w:r>
      <w:r>
        <w:rPr>
          <w:rFonts w:ascii="Times New Roman" w:eastAsia="Times New Roman" w:hAnsi="Times New Roman" w:cs="Times New Roman"/>
        </w:rPr>
        <w:t xml:space="preserve"> bukan menandakan adanya kondisi perusahaan yang kurang baik, sehingga </w:t>
      </w:r>
      <w:r>
        <w:rPr>
          <w:rFonts w:ascii="Times New Roman" w:eastAsia="Times New Roman" w:hAnsi="Times New Roman" w:cs="Times New Roman"/>
          <w:i/>
          <w:iCs/>
        </w:rPr>
        <w:t>sustainability report assurance</w:t>
      </w:r>
      <w:r>
        <w:rPr>
          <w:rFonts w:ascii="Times New Roman" w:eastAsia="Times New Roman" w:hAnsi="Times New Roman" w:cs="Times New Roman"/>
        </w:rPr>
        <w:t xml:space="preserve"> menjadi bentuk tanggung jawab perusahaan terhadap k</w:t>
      </w:r>
      <w:r>
        <w:rPr>
          <w:rFonts w:ascii="Times New Roman" w:eastAsia="Times New Roman" w:hAnsi="Times New Roman" w:cs="Times New Roman"/>
        </w:rPr>
        <w:t xml:space="preserve">inerja non finansial. Nilai perusahaan terindeks IDX30 bukan dipengaruhi oleh </w:t>
      </w:r>
      <w:r>
        <w:rPr>
          <w:rFonts w:ascii="Times New Roman" w:eastAsia="Times New Roman" w:hAnsi="Times New Roman" w:cs="Times New Roman"/>
          <w:i/>
          <w:iCs/>
        </w:rPr>
        <w:t>sustainability report assurance</w:t>
      </w:r>
      <w:r>
        <w:rPr>
          <w:rFonts w:ascii="Times New Roman" w:eastAsia="Times New Roman" w:hAnsi="Times New Roman" w:cs="Times New Roman"/>
        </w:rPr>
        <w:t xml:space="preserve"> karena perusahaan tersebut sudah jelas memenuhui kriteria memiliki likuiditas yang tinggi, market capital yang terbesar dan didukung oleh fundamen</w:t>
      </w:r>
      <w:r>
        <w:rPr>
          <w:rFonts w:ascii="Times New Roman" w:eastAsia="Times New Roman" w:hAnsi="Times New Roman" w:cs="Times New Roman"/>
        </w:rPr>
        <w:t xml:space="preserve">tal perusahaan yang baik, sehingga frekuensi komite audit tidak memberikan pengaruh langsung bagi nilai perusahaan. Hasil penelitian ini tidak bisa mendukung penelitian terdahulu yang telah dilakukan oleh </w:t>
      </w:r>
      <w:sdt>
        <w:sdtPr>
          <w:rPr>
            <w:rFonts w:ascii="Times New Roman" w:eastAsia="Times New Roman" w:hAnsi="Times New Roman" w:cs="Times New Roman"/>
            <w:color w:val="000000"/>
          </w:rPr>
          <w:tag w:val="MENDELEY_CITATION_v3_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"/>
          <w:id w:val="-963350114"/>
          <w:placeholder>
            <w:docPart w:val="DefaultPlaceholder_-1854013440"/>
          </w:placeholder>
        </w:sdtPr>
        <w:sdtEndPr/>
        <w:sdtContent>
          <w:r w:rsidR="00ED16D1" w:rsidRPr="00ED16D1">
            <w:rPr>
              <w:rFonts w:ascii="Times New Roman" w:eastAsia="Times New Roman" w:hAnsi="Times New Roman" w:cs="Times New Roman"/>
              <w:color w:val="000000"/>
            </w:rPr>
            <w:t>Purnamasari, (2025)</w:t>
          </w:r>
        </w:sdtContent>
      </w:sdt>
      <w:r>
        <w:rPr>
          <w:rFonts w:ascii="Times New Roman" w:eastAsia="Times New Roman" w:hAnsi="Times New Roman" w:cs="Times New Roman"/>
        </w:rPr>
        <w:t xml:space="preserve"> dan </w:t>
      </w:r>
      <w:sdt>
        <w:sdtPr>
          <w:rPr>
            <w:rFonts w:ascii="Times New Roman" w:eastAsia="Times New Roman" w:hAnsi="Times New Roman" w:cs="Times New Roman"/>
            <w:color w:val="000000"/>
          </w:rPr>
          <w:tag w:val="MENDELEY_CITATION_v3_eyJjaXRhdGlvbklEIjoiTUVOREVMRVlfQ0lUQVRJT05fYjNiOWViOWQtYmQ1NS00Y2MzLWJlMzItOGQ5Y2NiYTViODY4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
          <w:id w:val="1785074405"/>
          <w:placeholder>
            <w:docPart w:val="DefaultPlaceholder_-1854013440"/>
          </w:placeholder>
        </w:sdtPr>
        <w:sdtEndPr/>
        <w:sdtContent>
          <w:r w:rsidR="00ED16D1" w:rsidRPr="00ED16D1">
            <w:rPr>
              <w:rFonts w:ascii="Times New Roman" w:eastAsia="Times New Roman" w:hAnsi="Times New Roman" w:cs="Times New Roman"/>
              <w:color w:val="000000"/>
            </w:rPr>
            <w:t>Manurung et al., (2025)</w:t>
          </w:r>
        </w:sdtContent>
      </w:sdt>
      <w:r>
        <w:rPr>
          <w:rFonts w:ascii="Times New Roman" w:eastAsia="Times New Roman" w:hAnsi="Times New Roman" w:cs="Times New Roman"/>
        </w:rPr>
        <w:t>.</w:t>
      </w:r>
    </w:p>
    <w:p w14:paraId="11D35F53" w14:textId="77777777" w:rsidR="00092A4B" w:rsidRDefault="00092A4B" w:rsidP="00B82E85">
      <w:pPr>
        <w:jc w:val="both"/>
        <w:rPr>
          <w:rFonts w:ascii="Times New Roman" w:eastAsia="Times New Roman" w:hAnsi="Times New Roman" w:cs="Times New Roman"/>
        </w:rPr>
      </w:pPr>
    </w:p>
    <w:p w14:paraId="74FCA8B9" w14:textId="77777777" w:rsidR="00092A4B" w:rsidRDefault="001B2295" w:rsidP="00B82E85">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KESIMPULAN</w:t>
      </w:r>
    </w:p>
    <w:p w14:paraId="4384FC3D"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Berdasarkan penjelasan hasil penelitian yang telah dipaparkan di atas, maka dapat disimpulkan bahwa frekuensi komite audit tidak berpengaruh signifikan terhadap nilai perusahaan. Hal ini terjadi karena frekuensi komite audit tidak menjadi fak</w:t>
      </w:r>
      <w:r>
        <w:rPr>
          <w:rFonts w:ascii="Times New Roman" w:eastAsia="Times New Roman" w:hAnsi="Times New Roman" w:cs="Times New Roman"/>
        </w:rPr>
        <w:t>tor dominan bagi nilai perusahaan.   Peningkatan frekuensi komite audit justru memberi signal bahwa kondisi keuangan perusahaan sedang tidak baik dan membutuhkan solusi. Nilai perusahaan yang terbentuk pada perusahaan terindeks IDX30 dikarenakan karena mem</w:t>
      </w:r>
      <w:r>
        <w:rPr>
          <w:rFonts w:ascii="Times New Roman" w:eastAsia="Times New Roman" w:hAnsi="Times New Roman" w:cs="Times New Roman"/>
        </w:rPr>
        <w:t>iliki likuiditas yang tinggi, market capital yang terbesar dan didukung oleh fundamental perusahaan yang baik.</w:t>
      </w:r>
    </w:p>
    <w:p w14:paraId="235365AE" w14:textId="77777777" w:rsidR="00B82E85"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Demikian juga dengan kesimpulan yang dapat diambil dari sustainability report assurance yang tidak dapat memberikan dampak yang langsung kepada </w:t>
      </w:r>
      <w:r>
        <w:rPr>
          <w:rFonts w:ascii="Times New Roman" w:eastAsia="Times New Roman" w:hAnsi="Times New Roman" w:cs="Times New Roman"/>
        </w:rPr>
        <w:t>nilai perusahaan. Sustainability report assurance dianggap sebagai tindakan non finansial yang tidak terkait langsung dengan nilai perusahaan. IHSG memiliki volatilitas yang bersifat asimetris, di mana shock negatif (misalnya krisis atau berita buruk) meny</w:t>
      </w:r>
      <w:r>
        <w:rPr>
          <w:rFonts w:ascii="Times New Roman" w:eastAsia="Times New Roman" w:hAnsi="Times New Roman" w:cs="Times New Roman"/>
        </w:rPr>
        <w:t>ebabkan volatilitas yang lebih besar dibandingkan shock positif.</w:t>
      </w:r>
    </w:p>
    <w:p w14:paraId="49D665D7" w14:textId="517079C9" w:rsidR="00092A4B" w:rsidRDefault="001B2295" w:rsidP="00B82E85">
      <w:pPr>
        <w:ind w:firstLine="720"/>
        <w:jc w:val="both"/>
        <w:rPr>
          <w:rFonts w:ascii="Times New Roman" w:eastAsia="Times New Roman" w:hAnsi="Times New Roman" w:cs="Times New Roman"/>
        </w:rPr>
      </w:pPr>
      <w:r>
        <w:rPr>
          <w:rFonts w:ascii="Times New Roman" w:eastAsia="Times New Roman" w:hAnsi="Times New Roman" w:cs="Times New Roman"/>
        </w:rPr>
        <w:t xml:space="preserve">Saran yang dapat diberikan atas hasil penelitian ini adalah perlunya peningkatan praktik sustainability report assurance pada perusahaan terindeks IDX30 karena masih rata-rata baru mencapai </w:t>
      </w:r>
      <w:r>
        <w:rPr>
          <w:rFonts w:ascii="Times New Roman" w:eastAsia="Times New Roman" w:hAnsi="Times New Roman" w:cs="Times New Roman"/>
        </w:rPr>
        <w:t>31% dari seluruh standarnya, prestasi ini masih dianggap rendah.</w:t>
      </w:r>
    </w:p>
    <w:p w14:paraId="410DD108" w14:textId="77777777" w:rsidR="00092A4B" w:rsidRDefault="00092A4B" w:rsidP="00B82E85">
      <w:pPr>
        <w:jc w:val="both"/>
        <w:rPr>
          <w:rFonts w:ascii="Times New Roman" w:eastAsia="Times New Roman" w:hAnsi="Times New Roman" w:cs="Times New Roman"/>
        </w:rPr>
      </w:pPr>
    </w:p>
    <w:p w14:paraId="4A18F746" w14:textId="77777777" w:rsidR="00092A4B" w:rsidRDefault="001B2295" w:rsidP="00B82E85">
      <w:pPr>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DAFTAR REFERENSI</w:t>
      </w:r>
    </w:p>
    <w:sdt>
      <w:sdtPr>
        <w:rPr>
          <w:rFonts w:ascii="Times New Roman" w:eastAsia="Times New Roman" w:hAnsi="Times New Roman" w:cs="Times New Roman"/>
          <w:color w:val="000000"/>
        </w:rPr>
        <w:tag w:val="MENDELEY_BIBLIOGRAPHY"/>
        <w:id w:val="1238280995"/>
        <w:placeholder>
          <w:docPart w:val="DefaultPlaceholder_-1854013440"/>
        </w:placeholder>
      </w:sdtPr>
      <w:sdtEndPr/>
      <w:sdtContent>
        <w:p w14:paraId="3A6CF0A1" w14:textId="77777777" w:rsidR="00ED16D1" w:rsidRPr="00ED16D1" w:rsidRDefault="00ED16D1" w:rsidP="00B82E85">
          <w:pPr>
            <w:autoSpaceDE w:val="0"/>
            <w:autoSpaceDN w:val="0"/>
            <w:ind w:hanging="480"/>
            <w:jc w:val="both"/>
            <w:divId w:val="113719772"/>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Alfara, D. M., &amp; Kuntadi, C. (2024). Jurnal Manajemen, Akuntansi dan Logistik Determinasi Kualitas Pengungkapan Sustainability Report. </w:t>
          </w:r>
          <w:r w:rsidRPr="00ED16D1">
            <w:rPr>
              <w:rFonts w:ascii="Times New Roman" w:eastAsia="Times New Roman" w:hAnsi="Times New Roman" w:cs="Times New Roman"/>
              <w:i/>
              <w:iCs/>
              <w:color w:val="000000"/>
            </w:rPr>
            <w:t>Jurnal Manajemen, Akuntansi, Dan Logistik</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w:t>
          </w:r>
          <w:r w:rsidRPr="00ED16D1">
            <w:rPr>
              <w:rFonts w:ascii="Times New Roman" w:eastAsia="Times New Roman" w:hAnsi="Times New Roman" w:cs="Times New Roman"/>
              <w:color w:val="000000"/>
            </w:rPr>
            <w:t>(3). https://ciptakind-publisher.com/jumati/index.php/ojs/article/view/220</w:t>
          </w:r>
        </w:p>
        <w:p w14:paraId="0058301A" w14:textId="77777777" w:rsidR="00ED16D1" w:rsidRPr="00ED16D1" w:rsidRDefault="00ED16D1" w:rsidP="00B82E85">
          <w:pPr>
            <w:autoSpaceDE w:val="0"/>
            <w:autoSpaceDN w:val="0"/>
            <w:ind w:hanging="480"/>
            <w:jc w:val="both"/>
            <w:divId w:val="1336805679"/>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Amalia, N. P., &amp; Suryono, B. (2016). Efektivitas Komite Audit Dalam Sudut Pandang Auditor Internal. </w:t>
          </w:r>
          <w:r w:rsidRPr="00ED16D1">
            <w:rPr>
              <w:rFonts w:ascii="Times New Roman" w:eastAsia="Times New Roman" w:hAnsi="Times New Roman" w:cs="Times New Roman"/>
              <w:i/>
              <w:iCs/>
              <w:color w:val="000000"/>
            </w:rPr>
            <w:t>Jurnal Ilmu Dan Riset Akuntansi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5</w:t>
          </w:r>
          <w:r w:rsidRPr="00ED16D1">
            <w:rPr>
              <w:rFonts w:ascii="Times New Roman" w:eastAsia="Times New Roman" w:hAnsi="Times New Roman" w:cs="Times New Roman"/>
              <w:color w:val="000000"/>
            </w:rPr>
            <w:t>(1). https://scholar.googleusercontent.com/scholar?q=cache:4Al31KQwg5QJ:scholar.google.com/+EFEKTIVITAS+KOMITE+AUDIT+DALAM+SUDUT+PANDANG+AUDITOR+INTERNAL&amp;hl=id&amp;as_sdt=0,5</w:t>
          </w:r>
        </w:p>
        <w:p w14:paraId="523A003B" w14:textId="77777777" w:rsidR="00ED16D1" w:rsidRPr="00ED16D1" w:rsidRDefault="00ED16D1" w:rsidP="00B82E85">
          <w:pPr>
            <w:autoSpaceDE w:val="0"/>
            <w:autoSpaceDN w:val="0"/>
            <w:ind w:hanging="480"/>
            <w:jc w:val="both"/>
            <w:divId w:val="1348676835"/>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Amalia, R., Kharisma, A. N., &amp; Firmansyah, A. (2024). Pengungkapan Aspek Sosial Sesusai Standar GRI 400 versus Kepercayaan Pemangku Kepentingan. </w:t>
          </w:r>
          <w:r w:rsidRPr="00ED16D1">
            <w:rPr>
              <w:rFonts w:ascii="Times New Roman" w:eastAsia="Times New Roman" w:hAnsi="Times New Roman" w:cs="Times New Roman"/>
              <w:i/>
              <w:iCs/>
              <w:color w:val="000000"/>
            </w:rPr>
            <w:t>AKUNTANSIKU</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w:t>
          </w:r>
          <w:r w:rsidRPr="00ED16D1">
            <w:rPr>
              <w:rFonts w:ascii="Times New Roman" w:eastAsia="Times New Roman" w:hAnsi="Times New Roman" w:cs="Times New Roman"/>
              <w:color w:val="000000"/>
            </w:rPr>
            <w:t>(3). https://scholar.googleusercontent.com/scholar?q=cache:qI8jD_Jmj5sJ:scholar.google.com/+PENGUNGKAPAN+ASPEK+SOSIAL+SESUAI+STANDAR+GRI+400+VERSUS+KEPERCAYAAN+PEMANGKU+KEPENTINGAN&amp;hl=id&amp;as_sdt=0,5</w:t>
          </w:r>
        </w:p>
        <w:p w14:paraId="1627A66A" w14:textId="77777777" w:rsidR="00ED16D1" w:rsidRPr="00ED16D1" w:rsidRDefault="00ED16D1" w:rsidP="00B82E85">
          <w:pPr>
            <w:autoSpaceDE w:val="0"/>
            <w:autoSpaceDN w:val="0"/>
            <w:ind w:hanging="480"/>
            <w:jc w:val="both"/>
            <w:divId w:val="269893536"/>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Ana, S., &amp; Wibowo, D. T. (2025). Nilai Perusahaan dalam Formula Tobin’s Q Ratio. </w:t>
          </w:r>
          <w:r w:rsidRPr="00ED16D1">
            <w:rPr>
              <w:rFonts w:ascii="Times New Roman" w:eastAsia="Times New Roman" w:hAnsi="Times New Roman" w:cs="Times New Roman"/>
              <w:i/>
              <w:iCs/>
              <w:color w:val="000000"/>
            </w:rPr>
            <w:t>MUQADDIMAH: Jurnal Ekonomi, Manajemen, Akuntansi Dan Bisnis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w:t>
          </w:r>
          <w:r w:rsidRPr="00ED16D1">
            <w:rPr>
              <w:rFonts w:ascii="Times New Roman" w:eastAsia="Times New Roman" w:hAnsi="Times New Roman" w:cs="Times New Roman"/>
              <w:color w:val="000000"/>
            </w:rPr>
            <w:t>(1), 126–135. https://doi.org/10.59246/muqaddimah.v3i1.1190</w:t>
          </w:r>
        </w:p>
        <w:p w14:paraId="0A27DD3E" w14:textId="77777777" w:rsidR="00ED16D1" w:rsidRPr="00ED16D1" w:rsidRDefault="00ED16D1" w:rsidP="00B82E85">
          <w:pPr>
            <w:autoSpaceDE w:val="0"/>
            <w:autoSpaceDN w:val="0"/>
            <w:ind w:hanging="480"/>
            <w:jc w:val="both"/>
            <w:divId w:val="1928687436"/>
            <w:rPr>
              <w:rFonts w:ascii="Times New Roman" w:eastAsia="Times New Roman" w:hAnsi="Times New Roman" w:cs="Times New Roman"/>
              <w:color w:val="000000"/>
            </w:rPr>
          </w:pPr>
          <w:r w:rsidRPr="00ED16D1">
            <w:rPr>
              <w:rFonts w:ascii="Times New Roman" w:eastAsia="Times New Roman" w:hAnsi="Times New Roman" w:cs="Times New Roman"/>
              <w:color w:val="000000"/>
            </w:rPr>
            <w:lastRenderedPageBreak/>
            <w:t xml:space="preserve">Anderson, R. C., Mansi, S. A., &amp; Reeb, D. M. (2003). Board Characteristics, Accounting Report Integrity, and the Cost of Debt. </w:t>
          </w:r>
          <w:r w:rsidRPr="00ED16D1">
            <w:rPr>
              <w:rFonts w:ascii="Times New Roman" w:eastAsia="Times New Roman" w:hAnsi="Times New Roman" w:cs="Times New Roman"/>
              <w:i/>
              <w:iCs/>
              <w:color w:val="000000"/>
            </w:rPr>
            <w:t>Journal of Accounting and Economics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37</w:t>
          </w:r>
          <w:r w:rsidRPr="00ED16D1">
            <w:rPr>
              <w:rFonts w:ascii="Times New Roman" w:eastAsia="Times New Roman" w:hAnsi="Times New Roman" w:cs="Times New Roman"/>
              <w:color w:val="000000"/>
            </w:rPr>
            <w:t>(3). https://doi.org/https://doi.org/10.1016/j.jacceco.2004.01.004</w:t>
          </w:r>
        </w:p>
        <w:p w14:paraId="365F57DC" w14:textId="77777777" w:rsidR="00ED16D1" w:rsidRPr="00ED16D1" w:rsidRDefault="00ED16D1" w:rsidP="00B82E85">
          <w:pPr>
            <w:autoSpaceDE w:val="0"/>
            <w:autoSpaceDN w:val="0"/>
            <w:ind w:hanging="480"/>
            <w:jc w:val="both"/>
            <w:divId w:val="1603032960"/>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Anggraini, S. P., &amp; Arieftiara, D. (2023). Analisis Green Innovation, Laporan Keberlanjutan, dan Opini Going Concern Serta Dampaknya pada Nilai Perusahaan. </w:t>
          </w:r>
          <w:r w:rsidRPr="00ED16D1">
            <w:rPr>
              <w:rFonts w:ascii="Times New Roman" w:eastAsia="Times New Roman" w:hAnsi="Times New Roman" w:cs="Times New Roman"/>
              <w:i/>
              <w:iCs/>
              <w:color w:val="000000"/>
            </w:rPr>
            <w:t>Jurnal Equity</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26</w:t>
          </w:r>
          <w:r w:rsidRPr="00ED16D1">
            <w:rPr>
              <w:rFonts w:ascii="Times New Roman" w:eastAsia="Times New Roman" w:hAnsi="Times New Roman" w:cs="Times New Roman"/>
              <w:color w:val="000000"/>
            </w:rPr>
            <w:t>(2), 149–172. https://doi.org/DOI:10.34209/equ.v26i2.7413</w:t>
          </w:r>
        </w:p>
        <w:p w14:paraId="02BA5F94" w14:textId="77777777" w:rsidR="00ED16D1" w:rsidRPr="00ED16D1" w:rsidRDefault="00ED16D1" w:rsidP="00B82E85">
          <w:pPr>
            <w:autoSpaceDE w:val="0"/>
            <w:autoSpaceDN w:val="0"/>
            <w:ind w:hanging="480"/>
            <w:jc w:val="both"/>
            <w:divId w:val="2094811889"/>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Anzelya, Y. (2020). Pengaruh Efektivitas Komite Audit, Kualitas Internal dan Eksternal Audit terhadap Manajemen Laba Riil. </w:t>
          </w:r>
          <w:r w:rsidRPr="00ED16D1">
            <w:rPr>
              <w:rFonts w:ascii="Times New Roman" w:eastAsia="Times New Roman" w:hAnsi="Times New Roman" w:cs="Times New Roman"/>
              <w:i/>
              <w:iCs/>
              <w:color w:val="000000"/>
            </w:rPr>
            <w:t>JURNAL ONLINE INSAN AKUNTAN</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5</w:t>
          </w:r>
          <w:r w:rsidRPr="00ED16D1">
            <w:rPr>
              <w:rFonts w:ascii="Times New Roman" w:eastAsia="Times New Roman" w:hAnsi="Times New Roman" w:cs="Times New Roman"/>
              <w:color w:val="000000"/>
            </w:rPr>
            <w:t>(1), 99–112. https://doi.org/https://doi.org/10.51211/joia.v5i1.1325</w:t>
          </w:r>
        </w:p>
        <w:p w14:paraId="42F15D46" w14:textId="77777777" w:rsidR="00ED16D1" w:rsidRPr="00ED16D1" w:rsidRDefault="00ED16D1" w:rsidP="00B82E85">
          <w:pPr>
            <w:autoSpaceDE w:val="0"/>
            <w:autoSpaceDN w:val="0"/>
            <w:ind w:hanging="480"/>
            <w:jc w:val="both"/>
            <w:divId w:val="21516446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Ardyanti, P. D. (2023). Pengaruh Komite Audit, Jumlah Rapat Komite Audit, Keahlian Komite Audit dan Masa Jabatan Komite Audit terhadap Manajemen Laba Kurnia Sekolah Tinggi Ilmu Ekonomi Indonesia (STIESIA) Surabaya. </w:t>
          </w:r>
          <w:r w:rsidRPr="00ED16D1">
            <w:rPr>
              <w:rFonts w:ascii="Times New Roman" w:eastAsia="Times New Roman" w:hAnsi="Times New Roman" w:cs="Times New Roman"/>
              <w:i/>
              <w:iCs/>
              <w:color w:val="000000"/>
            </w:rPr>
            <w:t>Jurnal Ilmu Dan Riset Akuntansi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12</w:t>
          </w:r>
          <w:r w:rsidRPr="00ED16D1">
            <w:rPr>
              <w:rFonts w:ascii="Times New Roman" w:eastAsia="Times New Roman" w:hAnsi="Times New Roman" w:cs="Times New Roman"/>
              <w:color w:val="000000"/>
            </w:rPr>
            <w:t>(3). https://jurnalmahasiswa.stiesia.ac.id/index.php/jira/article/view/5137</w:t>
          </w:r>
        </w:p>
        <w:p w14:paraId="40941C3A" w14:textId="77777777" w:rsidR="00ED16D1" w:rsidRPr="00ED16D1" w:rsidRDefault="00ED16D1" w:rsidP="00B82E85">
          <w:pPr>
            <w:autoSpaceDE w:val="0"/>
            <w:autoSpaceDN w:val="0"/>
            <w:ind w:hanging="480"/>
            <w:jc w:val="both"/>
            <w:divId w:val="41648854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Astuti, N. D., Malau, E. I., &amp; Bahantwelu, M. I. (2025). Model Konseptual Integrasi Akuntansi Lingkungan ke dalam Pelaporan Keuangan: Implikasi bagi Akuntanbilitas dan Praktik Akuntansi Modern. </w:t>
          </w:r>
          <w:r w:rsidRPr="00ED16D1">
            <w:rPr>
              <w:rFonts w:ascii="Times New Roman" w:eastAsia="Times New Roman" w:hAnsi="Times New Roman" w:cs="Times New Roman"/>
              <w:i/>
              <w:iCs/>
              <w:color w:val="000000"/>
            </w:rPr>
            <w:t>Jurnal Akuntansi: Transparansi Dan Akuntabilitas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13</w:t>
          </w:r>
          <w:r w:rsidRPr="00ED16D1">
            <w:rPr>
              <w:rFonts w:ascii="Times New Roman" w:eastAsia="Times New Roman" w:hAnsi="Times New Roman" w:cs="Times New Roman"/>
              <w:color w:val="000000"/>
            </w:rPr>
            <w:t>(2), 77–85. https://doi.org/https://doi.org/10.35508/jak.v13i2.25476</w:t>
          </w:r>
        </w:p>
        <w:p w14:paraId="0D0BA6BA" w14:textId="77777777" w:rsidR="00ED16D1" w:rsidRPr="00ED16D1" w:rsidRDefault="00ED16D1" w:rsidP="00B82E85">
          <w:pPr>
            <w:autoSpaceDE w:val="0"/>
            <w:autoSpaceDN w:val="0"/>
            <w:ind w:hanging="480"/>
            <w:jc w:val="both"/>
            <w:divId w:val="843016541"/>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Brigham, E. F. ., &amp; Houston, J. F. . (2004). </w:t>
          </w:r>
          <w:r w:rsidRPr="00ED16D1">
            <w:rPr>
              <w:rFonts w:ascii="Times New Roman" w:eastAsia="Times New Roman" w:hAnsi="Times New Roman" w:cs="Times New Roman"/>
              <w:i/>
              <w:iCs/>
              <w:color w:val="000000"/>
            </w:rPr>
            <w:t>Fundamentals of Financial Management</w:t>
          </w:r>
          <w:r w:rsidRPr="00ED16D1">
            <w:rPr>
              <w:rFonts w:ascii="Times New Roman" w:eastAsia="Times New Roman" w:hAnsi="Times New Roman" w:cs="Times New Roman"/>
              <w:color w:val="000000"/>
            </w:rPr>
            <w:t>. Thomson/South-Western. https://scholar.googleusercontent.com/scholar?q=cache:DJsZUGuExcQJ:scholar.google.com/+Fundamentals+of+financial+management.+&amp;hl=id&amp;as_sdt=0,5</w:t>
          </w:r>
        </w:p>
        <w:p w14:paraId="1307F641" w14:textId="77777777" w:rsidR="00ED16D1" w:rsidRPr="00ED16D1" w:rsidRDefault="00ED16D1" w:rsidP="00B82E85">
          <w:pPr>
            <w:autoSpaceDE w:val="0"/>
            <w:autoSpaceDN w:val="0"/>
            <w:ind w:hanging="480"/>
            <w:jc w:val="both"/>
            <w:divId w:val="75694366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Bustani, Kurniaty, &amp; Widyanti, R. (2021). The Effect of Earning Per Share, Price to Book Value, Dividend Payout Ratio, and Net Profit Margin on the Stock Price in Indonesia Stock Exchange. </w:t>
          </w:r>
          <w:r w:rsidRPr="00ED16D1">
            <w:rPr>
              <w:rFonts w:ascii="Times New Roman" w:eastAsia="Times New Roman" w:hAnsi="Times New Roman" w:cs="Times New Roman"/>
              <w:i/>
              <w:iCs/>
              <w:color w:val="000000"/>
            </w:rPr>
            <w:t>Jurnal Maksipreneur: Manajemen, Koperasi, Dan Entrepreneurship</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11</w:t>
          </w:r>
          <w:r w:rsidRPr="00ED16D1">
            <w:rPr>
              <w:rFonts w:ascii="Times New Roman" w:eastAsia="Times New Roman" w:hAnsi="Times New Roman" w:cs="Times New Roman"/>
              <w:color w:val="000000"/>
            </w:rPr>
            <w:t>(1), 1–18. https://doi.org/10.30588/jmp.v11i1.810</w:t>
          </w:r>
        </w:p>
        <w:p w14:paraId="337ED66F" w14:textId="77777777" w:rsidR="00ED16D1" w:rsidRPr="00ED16D1" w:rsidRDefault="00ED16D1" w:rsidP="00B82E85">
          <w:pPr>
            <w:autoSpaceDE w:val="0"/>
            <w:autoSpaceDN w:val="0"/>
            <w:ind w:hanging="480"/>
            <w:jc w:val="both"/>
            <w:divId w:val="98659119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Choiroh, I. (2024). </w:t>
          </w:r>
          <w:r w:rsidRPr="00ED16D1">
            <w:rPr>
              <w:rFonts w:ascii="Times New Roman" w:eastAsia="Times New Roman" w:hAnsi="Times New Roman" w:cs="Times New Roman"/>
              <w:i/>
              <w:iCs/>
              <w:color w:val="000000"/>
            </w:rPr>
            <w:t>Pengaruh Investment Opportunity Set, Insider Ownership dan Firm Size terhadap Nilai Perusahaan (Studi pada Perusahaan yang Terdaftar di Jakarta Islamic Index Tahun 2017-2021)</w:t>
          </w:r>
          <w:r w:rsidRPr="00ED16D1">
            <w:rPr>
              <w:rFonts w:ascii="Times New Roman" w:eastAsia="Times New Roman" w:hAnsi="Times New Roman" w:cs="Times New Roman"/>
              <w:color w:val="000000"/>
            </w:rPr>
            <w:t>. https://repository.radenintan.ac.id/id/eprint/34101</w:t>
          </w:r>
        </w:p>
        <w:p w14:paraId="23F52A5B" w14:textId="77777777" w:rsidR="00ED16D1" w:rsidRPr="00ED16D1" w:rsidRDefault="00ED16D1" w:rsidP="00B82E85">
          <w:pPr>
            <w:autoSpaceDE w:val="0"/>
            <w:autoSpaceDN w:val="0"/>
            <w:ind w:hanging="480"/>
            <w:jc w:val="both"/>
            <w:divId w:val="99583935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Hidayati, N. I. M. (2026). Kualitas Tata Kelola Perusahaan dalam Memoderasi Pengaruh Laporan Keberlanjutan Terhadap Nilai Perusahaan (Studi Empiris pada Perusahaan dalam Indeks LQ45). </w:t>
          </w:r>
          <w:r w:rsidRPr="00ED16D1">
            <w:rPr>
              <w:rFonts w:ascii="Times New Roman" w:eastAsia="Times New Roman" w:hAnsi="Times New Roman" w:cs="Times New Roman"/>
              <w:i/>
              <w:iCs/>
              <w:color w:val="000000"/>
            </w:rPr>
            <w:t>Jurnal Akuntansi Kompetif</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9</w:t>
          </w:r>
          <w:r w:rsidRPr="00ED16D1">
            <w:rPr>
              <w:rFonts w:ascii="Times New Roman" w:eastAsia="Times New Roman" w:hAnsi="Times New Roman" w:cs="Times New Roman"/>
              <w:color w:val="000000"/>
            </w:rPr>
            <w:t>(1). https://doi.org/https://doi.org/10.35446/akuntansikompetif.v9i1.2573</w:t>
          </w:r>
        </w:p>
        <w:p w14:paraId="0F66AA38" w14:textId="77777777" w:rsidR="00ED16D1" w:rsidRPr="00ED16D1" w:rsidRDefault="00ED16D1" w:rsidP="00B82E85">
          <w:pPr>
            <w:autoSpaceDE w:val="0"/>
            <w:autoSpaceDN w:val="0"/>
            <w:ind w:hanging="480"/>
            <w:jc w:val="both"/>
            <w:divId w:val="1371302110"/>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Jensen, M. C., &amp; Meckling, W. H. (1976). Theory of the Firm: Managerial Behavior, Agency Costs and Ownership Structure. </w:t>
          </w:r>
          <w:r w:rsidRPr="00ED16D1">
            <w:rPr>
              <w:rFonts w:ascii="Times New Roman" w:eastAsia="Times New Roman" w:hAnsi="Times New Roman" w:cs="Times New Roman"/>
              <w:i/>
              <w:iCs/>
              <w:color w:val="000000"/>
            </w:rPr>
            <w:t>Journal of Financial Economics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w:t>
          </w:r>
          <w:r w:rsidRPr="00ED16D1">
            <w:rPr>
              <w:rFonts w:ascii="Times New Roman" w:eastAsia="Times New Roman" w:hAnsi="Times New Roman" w:cs="Times New Roman"/>
              <w:color w:val="000000"/>
            </w:rPr>
            <w:t>(4), 305–360. https://www.taylorfrancis.com/chapters/edit/10.4324/9781315191157-9/theory-firm-managerial-behavior-agency-costs-ownership-structure-michael-jensen-william-meckling</w:t>
          </w:r>
        </w:p>
        <w:p w14:paraId="709CF2EB" w14:textId="77777777" w:rsidR="00ED16D1" w:rsidRPr="00ED16D1" w:rsidRDefault="00ED16D1" w:rsidP="00B82E85">
          <w:pPr>
            <w:autoSpaceDE w:val="0"/>
            <w:autoSpaceDN w:val="0"/>
            <w:ind w:hanging="480"/>
            <w:jc w:val="both"/>
            <w:divId w:val="753015660"/>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Josephine, K., Trisnawati, E., &amp; Setijaningsih, H. T. (2019). Pengaruh Modal Intelektual dan Tata Kelola Perusahaan terhadap Nilai Perusahan Melalui Kinerja Keuangan (Studi Empiris pada Perusahaan  LQ45 di Bursa Efek Indonesia periode 2015-2017). </w:t>
          </w:r>
          <w:r w:rsidRPr="00ED16D1">
            <w:rPr>
              <w:rFonts w:ascii="Times New Roman" w:eastAsia="Times New Roman" w:hAnsi="Times New Roman" w:cs="Times New Roman"/>
              <w:i/>
              <w:iCs/>
              <w:color w:val="000000"/>
            </w:rPr>
            <w:t>Jurnal Muara Ilmu Ekonomi Dan Bisnis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w:t>
          </w:r>
          <w:r w:rsidRPr="00ED16D1">
            <w:rPr>
              <w:rFonts w:ascii="Times New Roman" w:eastAsia="Times New Roman" w:hAnsi="Times New Roman" w:cs="Times New Roman"/>
              <w:color w:val="000000"/>
            </w:rPr>
            <w:t>(1), 59–70. https://doi.org/10.24912/jmieb.v3i1.2474</w:t>
          </w:r>
        </w:p>
        <w:p w14:paraId="502013A3" w14:textId="77777777" w:rsidR="00ED16D1" w:rsidRPr="00ED16D1" w:rsidRDefault="00ED16D1" w:rsidP="00B82E85">
          <w:pPr>
            <w:autoSpaceDE w:val="0"/>
            <w:autoSpaceDN w:val="0"/>
            <w:ind w:hanging="480"/>
            <w:jc w:val="both"/>
            <w:divId w:val="2085954992"/>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Karnawati, Y. (2018). Faktor-Faktor yang Berpengaruh terhadap Manajemen Laba dan Kinerja Perusahaan (Studi Empiris pada Perusahaan Manufaktur). </w:t>
          </w:r>
          <w:r w:rsidRPr="00ED16D1">
            <w:rPr>
              <w:rFonts w:ascii="Times New Roman" w:eastAsia="Times New Roman" w:hAnsi="Times New Roman" w:cs="Times New Roman"/>
              <w:i/>
              <w:iCs/>
              <w:color w:val="000000"/>
            </w:rPr>
            <w:t>Jurnal Ekonomi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9</w:t>
          </w:r>
          <w:r w:rsidRPr="00ED16D1">
            <w:rPr>
              <w:rFonts w:ascii="Times New Roman" w:eastAsia="Times New Roman" w:hAnsi="Times New Roman" w:cs="Times New Roman"/>
              <w:color w:val="000000"/>
            </w:rPr>
            <w:t>(2). https://doi.org/https://doi.org/10.47007/jeko.v9i02.2531</w:t>
          </w:r>
        </w:p>
        <w:p w14:paraId="799E2E33" w14:textId="77777777" w:rsidR="00ED16D1" w:rsidRPr="00ED16D1" w:rsidRDefault="00ED16D1" w:rsidP="00B82E85">
          <w:pPr>
            <w:autoSpaceDE w:val="0"/>
            <w:autoSpaceDN w:val="0"/>
            <w:ind w:hanging="480"/>
            <w:jc w:val="both"/>
            <w:divId w:val="1960791520"/>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Kolk, A., &amp; Perego, P. (2010). Determinants of the Adoption od Sustainability Assurance Statements: An International Investigation. </w:t>
          </w:r>
          <w:r w:rsidRPr="00ED16D1">
            <w:rPr>
              <w:rFonts w:ascii="Times New Roman" w:eastAsia="Times New Roman" w:hAnsi="Times New Roman" w:cs="Times New Roman"/>
              <w:i/>
              <w:iCs/>
              <w:color w:val="000000"/>
            </w:rPr>
            <w:t>Business Strategy and the Environment</w:t>
          </w:r>
          <w:r w:rsidRPr="00ED16D1">
            <w:rPr>
              <w:rFonts w:ascii="Times New Roman" w:eastAsia="Times New Roman" w:hAnsi="Times New Roman" w:cs="Times New Roman"/>
              <w:color w:val="000000"/>
            </w:rPr>
            <w:t>. https://doi.org/https://doi.org/10.1002/bse.643</w:t>
          </w:r>
        </w:p>
        <w:p w14:paraId="445F6080" w14:textId="77777777" w:rsidR="00ED16D1" w:rsidRPr="00ED16D1" w:rsidRDefault="00ED16D1" w:rsidP="00B82E85">
          <w:pPr>
            <w:autoSpaceDE w:val="0"/>
            <w:autoSpaceDN w:val="0"/>
            <w:ind w:hanging="480"/>
            <w:jc w:val="both"/>
            <w:divId w:val="684676298"/>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Lim, J. &amp; S. (2025). Pengaruh Kapalitas Pasar, Ukuran Perusahaan, Arus Kas Bebas, Kebijakan </w:t>
          </w:r>
          <w:r w:rsidRPr="00ED16D1">
            <w:rPr>
              <w:rFonts w:ascii="Times New Roman" w:eastAsia="Times New Roman" w:hAnsi="Times New Roman" w:cs="Times New Roman"/>
              <w:color w:val="000000"/>
            </w:rPr>
            <w:lastRenderedPageBreak/>
            <w:t xml:space="preserve">Dividen, dan Tingkat Suku Bunga Terhadap Nilai Perusahaan. </w:t>
          </w:r>
          <w:r w:rsidRPr="00ED16D1">
            <w:rPr>
              <w:rFonts w:ascii="Times New Roman" w:eastAsia="Times New Roman" w:hAnsi="Times New Roman" w:cs="Times New Roman"/>
              <w:i/>
              <w:iCs/>
              <w:color w:val="000000"/>
            </w:rPr>
            <w:t>Jurnal Akuntansi Terapan Dan Bisnis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5</w:t>
          </w:r>
          <w:r w:rsidRPr="00ED16D1">
            <w:rPr>
              <w:rFonts w:ascii="Times New Roman" w:eastAsia="Times New Roman" w:hAnsi="Times New Roman" w:cs="Times New Roman"/>
              <w:color w:val="000000"/>
            </w:rPr>
            <w:t>(2), 94–102. https://doi.org/10.25047/asersi.v5i2.6506</w:t>
          </w:r>
        </w:p>
        <w:p w14:paraId="1A05DFA6" w14:textId="77777777" w:rsidR="00ED16D1" w:rsidRPr="00ED16D1" w:rsidRDefault="00ED16D1" w:rsidP="00B82E85">
          <w:pPr>
            <w:autoSpaceDE w:val="0"/>
            <w:autoSpaceDN w:val="0"/>
            <w:ind w:hanging="480"/>
            <w:jc w:val="both"/>
            <w:divId w:val="1940481421"/>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Liyanto, L., &amp; Anam, H. (2019). Proporsi Komisaris Independen, Dewan Komisaris, Kompetensi Komite Audit, Frekuensi Rapat Komite Audit terhadap Konservatisme Akuntansi. </w:t>
          </w:r>
          <w:r w:rsidRPr="00ED16D1">
            <w:rPr>
              <w:rFonts w:ascii="Times New Roman" w:eastAsia="Times New Roman" w:hAnsi="Times New Roman" w:cs="Times New Roman"/>
              <w:i/>
              <w:iCs/>
              <w:color w:val="000000"/>
            </w:rPr>
            <w:t>Jurnal GeoEkonomi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10</w:t>
          </w:r>
          <w:r w:rsidRPr="00ED16D1">
            <w:rPr>
              <w:rFonts w:ascii="Times New Roman" w:eastAsia="Times New Roman" w:hAnsi="Times New Roman" w:cs="Times New Roman"/>
              <w:color w:val="000000"/>
            </w:rPr>
            <w:t>(1), 2086–1117. https://doi.org/https://doi.org/10.36277/geoekonomi.v10i1.53</w:t>
          </w:r>
        </w:p>
        <w:p w14:paraId="6E61B247" w14:textId="77777777" w:rsidR="00ED16D1" w:rsidRPr="00ED16D1" w:rsidRDefault="00ED16D1" w:rsidP="00B82E85">
          <w:pPr>
            <w:autoSpaceDE w:val="0"/>
            <w:autoSpaceDN w:val="0"/>
            <w:ind w:hanging="480"/>
            <w:jc w:val="both"/>
            <w:divId w:val="180554286"/>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Lusiana, S. A., Tripermata, L., &amp; Putri, A. U. (2025). Analisis Fundamental dan Teknikal terhadap Return Saham pada Perusahaan Multisektor IDX 30 yang Terdaftar di BEI. </w:t>
          </w:r>
          <w:r w:rsidRPr="00ED16D1">
            <w:rPr>
              <w:rFonts w:ascii="Times New Roman" w:eastAsia="Times New Roman" w:hAnsi="Times New Roman" w:cs="Times New Roman"/>
              <w:i/>
              <w:iCs/>
              <w:color w:val="000000"/>
            </w:rPr>
            <w:t>AKUA: Jurnal Akuntansi Dan Keuangan</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4</w:t>
          </w:r>
          <w:r w:rsidRPr="00ED16D1">
            <w:rPr>
              <w:rFonts w:ascii="Times New Roman" w:eastAsia="Times New Roman" w:hAnsi="Times New Roman" w:cs="Times New Roman"/>
              <w:color w:val="000000"/>
            </w:rPr>
            <w:t>(4), 873–879. https://doi.org/10.54259/akua.v4i4.5646</w:t>
          </w:r>
        </w:p>
        <w:p w14:paraId="350138DE" w14:textId="77777777" w:rsidR="00ED16D1" w:rsidRPr="00ED16D1" w:rsidRDefault="00ED16D1" w:rsidP="00B82E85">
          <w:pPr>
            <w:autoSpaceDE w:val="0"/>
            <w:autoSpaceDN w:val="0"/>
            <w:ind w:hanging="480"/>
            <w:jc w:val="both"/>
            <w:divId w:val="2676338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Manurung, A., Hendriarto, P., Sangapan, L. H., &amp; Manurung, A. H. (2025). Pengaruh Sustainability Reporting terhadap Nilai Perusahaan: Kajian Literatur Sistematis. </w:t>
          </w:r>
          <w:r w:rsidRPr="00ED16D1">
            <w:rPr>
              <w:rFonts w:ascii="Times New Roman" w:eastAsia="Times New Roman" w:hAnsi="Times New Roman" w:cs="Times New Roman"/>
              <w:i/>
              <w:iCs/>
              <w:color w:val="000000"/>
            </w:rPr>
            <w:t>(JGIA) Jurnal Greenation Ilmu Akuntansi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w:t>
          </w:r>
          <w:r w:rsidRPr="00ED16D1">
            <w:rPr>
              <w:rFonts w:ascii="Times New Roman" w:eastAsia="Times New Roman" w:hAnsi="Times New Roman" w:cs="Times New Roman"/>
              <w:color w:val="000000"/>
            </w:rPr>
            <w:t>(2). https://doi.org/10.38035/jgia.v3i2</w:t>
          </w:r>
        </w:p>
        <w:p w14:paraId="0AEF65DB" w14:textId="77777777" w:rsidR="00ED16D1" w:rsidRPr="00ED16D1" w:rsidRDefault="00ED16D1" w:rsidP="00B82E85">
          <w:pPr>
            <w:autoSpaceDE w:val="0"/>
            <w:autoSpaceDN w:val="0"/>
            <w:ind w:hanging="480"/>
            <w:jc w:val="both"/>
            <w:divId w:val="163047963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Murdianingsih, D., Prayogi, A., &amp; Handayani, T. (2022). Effect of Good Corporate Governance and Sustainability Reporting to the Integrated Reporting Moderation Firm Size. </w:t>
          </w:r>
          <w:r w:rsidRPr="00ED16D1">
            <w:rPr>
              <w:rFonts w:ascii="Times New Roman" w:eastAsia="Times New Roman" w:hAnsi="Times New Roman" w:cs="Times New Roman"/>
              <w:i/>
              <w:iCs/>
              <w:color w:val="000000"/>
            </w:rPr>
            <w:t>Fokus Bisnis Media Pengkajian Manajemen Dan Akuntansi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21</w:t>
          </w:r>
          <w:r w:rsidRPr="00ED16D1">
            <w:rPr>
              <w:rFonts w:ascii="Times New Roman" w:eastAsia="Times New Roman" w:hAnsi="Times New Roman" w:cs="Times New Roman"/>
              <w:color w:val="000000"/>
            </w:rPr>
            <w:t>(1), 113–123. https://doi.org/10.32639/fokbis.v21i1.75</w:t>
          </w:r>
        </w:p>
        <w:p w14:paraId="1D2347CB" w14:textId="77777777" w:rsidR="00ED16D1" w:rsidRPr="00ED16D1" w:rsidRDefault="00ED16D1" w:rsidP="00B82E85">
          <w:pPr>
            <w:autoSpaceDE w:val="0"/>
            <w:autoSpaceDN w:val="0"/>
            <w:ind w:hanging="480"/>
            <w:jc w:val="both"/>
            <w:divId w:val="927152856"/>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Najah, H. A., &amp; Mukhibad, H. (2022). Leverage, Investment Account Holder (IAH), Frekuensi Rapat Dewan Pengawas Syariah, Frekuensi Rapat Dewan Komisaris, Frekuensi Rapat Komite Audit Dan Pengaruhnya Terhadap Pengungkapan Akuntabilitas. </w:t>
          </w:r>
          <w:r w:rsidRPr="00ED16D1">
            <w:rPr>
              <w:rFonts w:ascii="Times New Roman" w:eastAsia="Times New Roman" w:hAnsi="Times New Roman" w:cs="Times New Roman"/>
              <w:i/>
              <w:iCs/>
              <w:color w:val="000000"/>
            </w:rPr>
            <w:t>AKTSAR: Jurnal Akuntansi Syariah</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5</w:t>
          </w:r>
          <w:r w:rsidRPr="00ED16D1">
            <w:rPr>
              <w:rFonts w:ascii="Times New Roman" w:eastAsia="Times New Roman" w:hAnsi="Times New Roman" w:cs="Times New Roman"/>
              <w:color w:val="000000"/>
            </w:rPr>
            <w:t>(1), 48–72. https://doi.org/10.21043/aktsar.v5i1.14826</w:t>
          </w:r>
        </w:p>
        <w:p w14:paraId="6D860A4A" w14:textId="77777777" w:rsidR="00ED16D1" w:rsidRPr="00ED16D1" w:rsidRDefault="00ED16D1" w:rsidP="00B82E85">
          <w:pPr>
            <w:autoSpaceDE w:val="0"/>
            <w:autoSpaceDN w:val="0"/>
            <w:ind w:hanging="480"/>
            <w:jc w:val="both"/>
            <w:divId w:val="20283694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Purnamasari, S. A. (2025). Mekanisme Perkembangan Pasar Modal sebagai Salah Satu Produk Investasi di Masyarakat. </w:t>
          </w:r>
          <w:r w:rsidRPr="00ED16D1">
            <w:rPr>
              <w:rFonts w:ascii="Times New Roman" w:eastAsia="Times New Roman" w:hAnsi="Times New Roman" w:cs="Times New Roman"/>
              <w:i/>
              <w:iCs/>
              <w:color w:val="000000"/>
            </w:rPr>
            <w:t>Jurnal Rumpun Manajemen Dan Ekonomi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w:t>
          </w:r>
          <w:r w:rsidRPr="00ED16D1">
            <w:rPr>
              <w:rFonts w:ascii="Times New Roman" w:eastAsia="Times New Roman" w:hAnsi="Times New Roman" w:cs="Times New Roman"/>
              <w:color w:val="000000"/>
            </w:rPr>
            <w:t>(3), 499–515. https://doi.org/10.61722/jrme.v2i3.4739</w:t>
          </w:r>
        </w:p>
        <w:p w14:paraId="4A45A707" w14:textId="77777777" w:rsidR="00ED16D1" w:rsidRPr="00ED16D1" w:rsidRDefault="00ED16D1" w:rsidP="00B82E85">
          <w:pPr>
            <w:autoSpaceDE w:val="0"/>
            <w:autoSpaceDN w:val="0"/>
            <w:ind w:hanging="480"/>
            <w:jc w:val="both"/>
            <w:divId w:val="810513691"/>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Putra, B., &amp; Sisdianto, E. (2024). PT. Media Akademik Publisher Penerapan Green Accounting Dalam Mendukung Keberlanjutan Perusahan di Indonesia. </w:t>
          </w:r>
          <w:r w:rsidRPr="00ED16D1">
            <w:rPr>
              <w:rFonts w:ascii="Times New Roman" w:eastAsia="Times New Roman" w:hAnsi="Times New Roman" w:cs="Times New Roman"/>
              <w:i/>
              <w:iCs/>
              <w:color w:val="000000"/>
            </w:rPr>
            <w:t>JURNAL MEDIA AKADEMIK (JMA)</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w:t>
          </w:r>
          <w:r w:rsidRPr="00ED16D1">
            <w:rPr>
              <w:rFonts w:ascii="Times New Roman" w:eastAsia="Times New Roman" w:hAnsi="Times New Roman" w:cs="Times New Roman"/>
              <w:color w:val="000000"/>
            </w:rPr>
            <w:t>(12), 3031–5220. https://doi.org/10.62281</w:t>
          </w:r>
        </w:p>
        <w:p w14:paraId="6D2591FB" w14:textId="77777777" w:rsidR="00ED16D1" w:rsidRPr="00ED16D1" w:rsidRDefault="00ED16D1" w:rsidP="00B82E85">
          <w:pPr>
            <w:autoSpaceDE w:val="0"/>
            <w:autoSpaceDN w:val="0"/>
            <w:ind w:hanging="480"/>
            <w:jc w:val="both"/>
            <w:divId w:val="955405610"/>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Putri, Y. H. (2021). Market Value Added sebagai Alat Pengukur Kinerja Perusahaan dan Harga Saham. </w:t>
          </w:r>
          <w:r w:rsidRPr="00ED16D1">
            <w:rPr>
              <w:rFonts w:ascii="Times New Roman" w:eastAsia="Times New Roman" w:hAnsi="Times New Roman" w:cs="Times New Roman"/>
              <w:i/>
              <w:iCs/>
              <w:color w:val="000000"/>
            </w:rPr>
            <w:t>Juripol</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4</w:t>
          </w:r>
          <w:r w:rsidRPr="00ED16D1">
            <w:rPr>
              <w:rFonts w:ascii="Times New Roman" w:eastAsia="Times New Roman" w:hAnsi="Times New Roman" w:cs="Times New Roman"/>
              <w:color w:val="000000"/>
            </w:rPr>
            <w:t>(1). https://doi.org/10.33395/juripol.v4i1.11056</w:t>
          </w:r>
        </w:p>
        <w:p w14:paraId="555E2D3D" w14:textId="77777777" w:rsidR="00ED16D1" w:rsidRPr="00ED16D1" w:rsidRDefault="00ED16D1" w:rsidP="00B82E85">
          <w:pPr>
            <w:autoSpaceDE w:val="0"/>
            <w:autoSpaceDN w:val="0"/>
            <w:ind w:hanging="480"/>
            <w:jc w:val="both"/>
            <w:divId w:val="159897587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Ramadhani, C. A. (2025). </w:t>
          </w:r>
          <w:r w:rsidRPr="00ED16D1">
            <w:rPr>
              <w:rFonts w:ascii="Times New Roman" w:eastAsia="Times New Roman" w:hAnsi="Times New Roman" w:cs="Times New Roman"/>
              <w:i/>
              <w:iCs/>
              <w:color w:val="000000"/>
            </w:rPr>
            <w:t>Analisis Kualitas Assurance Statement atas Sustainability Report pada Perusahaan BUMN Tahun 2022-2023</w:t>
          </w:r>
          <w:r w:rsidRPr="00ED16D1">
            <w:rPr>
              <w:rFonts w:ascii="Times New Roman" w:eastAsia="Times New Roman" w:hAnsi="Times New Roman" w:cs="Times New Roman"/>
              <w:color w:val="000000"/>
            </w:rPr>
            <w:t>. https://repository.unhas.ac.id/id/eprint/53708/</w:t>
          </w:r>
        </w:p>
        <w:p w14:paraId="18FA5C19" w14:textId="77777777" w:rsidR="00ED16D1" w:rsidRPr="00ED16D1" w:rsidRDefault="00ED16D1" w:rsidP="00B82E85">
          <w:pPr>
            <w:autoSpaceDE w:val="0"/>
            <w:autoSpaceDN w:val="0"/>
            <w:ind w:hanging="480"/>
            <w:jc w:val="both"/>
            <w:divId w:val="173947987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Riahman Damanik, E., &amp; Purnamasari, A. (2022). Pengaruh Proporsi Dewan Komisaris Independen dan Komite Audit terhadap Kinerja Keuangan Perusahaan (Studi terhadap Perusahaan Makanan dan Minuman yang Terdaftar di BEI Periode 2017-2021). </w:t>
          </w:r>
          <w:r w:rsidRPr="00ED16D1">
            <w:rPr>
              <w:rFonts w:ascii="Times New Roman" w:eastAsia="Times New Roman" w:hAnsi="Times New Roman" w:cs="Times New Roman"/>
              <w:i/>
              <w:iCs/>
              <w:color w:val="000000"/>
            </w:rPr>
            <w:t>JOURNAL INTELEKTUAL</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w:t>
          </w:r>
          <w:r w:rsidRPr="00ED16D1">
            <w:rPr>
              <w:rFonts w:ascii="Times New Roman" w:eastAsia="Times New Roman" w:hAnsi="Times New Roman" w:cs="Times New Roman"/>
              <w:color w:val="000000"/>
            </w:rPr>
            <w:t>(1), 23–34. https://scholar.googleusercontent.com/scholar?q=cache:audWrWq8tsgJ:scholar.google.com/+Pengaruh+Proporsi+Dewan+Komisaris+Independen+dan+Komite+Audit+terhadap+Kinerja+Keuangan+Perusahaan+(Studi+terhadap+Perusahaan+Makanan+dan+Minuman+yang+Terdaftar+di+BEI+Periode+2017-2021).&amp;hl=id&amp;as_sdt=0,5</w:t>
          </w:r>
        </w:p>
        <w:p w14:paraId="57ABE3E0" w14:textId="77777777" w:rsidR="00ED16D1" w:rsidRPr="00ED16D1" w:rsidRDefault="00ED16D1" w:rsidP="00B82E85">
          <w:pPr>
            <w:autoSpaceDE w:val="0"/>
            <w:autoSpaceDN w:val="0"/>
            <w:ind w:hanging="480"/>
            <w:jc w:val="both"/>
            <w:divId w:val="170756035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Rohman, H. A. N., Ainiyah, N., &amp; Ilmidaviq, M. B. (2024). Pengaruh Environmental, Social, and Governance (ESG) terhadap Financial Performance : Peran Struktur Kepemilikan sebagai Variabel Pemoderasi. </w:t>
          </w:r>
          <w:r w:rsidRPr="00ED16D1">
            <w:rPr>
              <w:rFonts w:ascii="Times New Roman" w:eastAsia="Times New Roman" w:hAnsi="Times New Roman" w:cs="Times New Roman"/>
              <w:i/>
              <w:iCs/>
              <w:color w:val="000000"/>
            </w:rPr>
            <w:t>Jurnal Ilmiah Ekonomi, Akuntansi, Dan Pajak</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w:t>
          </w:r>
          <w:r w:rsidRPr="00ED16D1">
            <w:rPr>
              <w:rFonts w:ascii="Times New Roman" w:eastAsia="Times New Roman" w:hAnsi="Times New Roman" w:cs="Times New Roman"/>
              <w:color w:val="000000"/>
            </w:rPr>
            <w:t>(3), 265–280. https://doi.org/10.61132/jieap.v1i3.425</w:t>
          </w:r>
        </w:p>
        <w:p w14:paraId="7851FC70" w14:textId="77777777" w:rsidR="00ED16D1" w:rsidRPr="00ED16D1" w:rsidRDefault="00ED16D1" w:rsidP="00B82E85">
          <w:pPr>
            <w:autoSpaceDE w:val="0"/>
            <w:autoSpaceDN w:val="0"/>
            <w:ind w:hanging="480"/>
            <w:jc w:val="both"/>
            <w:divId w:val="1696230198"/>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Rosalina. (2025). Pengaruh Keahlian Komite Audit dan Frekuensi Rapat Komite Audit terhadap Kualitas Pelaporan Keuangan di Sektor Kesehatan. </w:t>
          </w:r>
          <w:r w:rsidRPr="00ED16D1">
            <w:rPr>
              <w:rFonts w:ascii="Times New Roman" w:eastAsia="Times New Roman" w:hAnsi="Times New Roman" w:cs="Times New Roman"/>
              <w:i/>
              <w:iCs/>
              <w:color w:val="000000"/>
            </w:rPr>
            <w:t>Syntax Idea</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7</w:t>
          </w:r>
          <w:r w:rsidRPr="00ED16D1">
            <w:rPr>
              <w:rFonts w:ascii="Times New Roman" w:eastAsia="Times New Roman" w:hAnsi="Times New Roman" w:cs="Times New Roman"/>
              <w:color w:val="000000"/>
            </w:rPr>
            <w:t>(7), 2548–1398. https://doi.org/https://doi.org/10.46799/syntaxidea.v7i7.13409</w:t>
          </w:r>
        </w:p>
        <w:p w14:paraId="7C4E3C63" w14:textId="77777777" w:rsidR="00ED16D1" w:rsidRPr="00ED16D1" w:rsidRDefault="00ED16D1" w:rsidP="00B82E85">
          <w:pPr>
            <w:autoSpaceDE w:val="0"/>
            <w:autoSpaceDN w:val="0"/>
            <w:ind w:hanging="480"/>
            <w:jc w:val="both"/>
            <w:divId w:val="500700441"/>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Safitri, H., Arba, I., &amp; Wahyuni. (2025). Audit Readiness Atas Laporan Keberlanjutan: Tantangan Baru Bagi Auditor di Era ESG Disclosure. </w:t>
          </w:r>
          <w:r w:rsidRPr="00ED16D1">
            <w:rPr>
              <w:rFonts w:ascii="Times New Roman" w:eastAsia="Times New Roman" w:hAnsi="Times New Roman" w:cs="Times New Roman"/>
              <w:i/>
              <w:iCs/>
              <w:color w:val="000000"/>
            </w:rPr>
            <w:t>Neraca Manajemen, Ekonomi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20</w:t>
          </w:r>
          <w:r w:rsidRPr="00ED16D1">
            <w:rPr>
              <w:rFonts w:ascii="Times New Roman" w:eastAsia="Times New Roman" w:hAnsi="Times New Roman" w:cs="Times New Roman"/>
              <w:color w:val="000000"/>
            </w:rPr>
            <w:t xml:space="preserve">(9). </w:t>
          </w:r>
          <w:r w:rsidRPr="00ED16D1">
            <w:rPr>
              <w:rFonts w:ascii="Times New Roman" w:eastAsia="Times New Roman" w:hAnsi="Times New Roman" w:cs="Times New Roman"/>
              <w:color w:val="000000"/>
            </w:rPr>
            <w:lastRenderedPageBreak/>
            <w:t>https://doi.org/https://doi.org/10.2324/vqg2y998</w:t>
          </w:r>
        </w:p>
        <w:p w14:paraId="606F8ACA" w14:textId="77777777" w:rsidR="00ED16D1" w:rsidRPr="00ED16D1" w:rsidRDefault="00ED16D1" w:rsidP="00B82E85">
          <w:pPr>
            <w:autoSpaceDE w:val="0"/>
            <w:autoSpaceDN w:val="0"/>
            <w:ind w:hanging="480"/>
            <w:jc w:val="both"/>
            <w:divId w:val="172806643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Sapna, A., Said, S., &amp; Mellisyah. (2025). Pengaruh Struktur Modal, Kebijakan Dividen, dan Profitabilitas Terhadap Nilai Perusahaan. </w:t>
          </w:r>
          <w:r w:rsidRPr="00ED16D1">
            <w:rPr>
              <w:rFonts w:ascii="Times New Roman" w:eastAsia="Times New Roman" w:hAnsi="Times New Roman" w:cs="Times New Roman"/>
              <w:i/>
              <w:iCs/>
              <w:color w:val="000000"/>
            </w:rPr>
            <w:t>PARADOKS Jurnal Ilmu Ekonomi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8</w:t>
          </w:r>
          <w:r w:rsidRPr="00ED16D1">
            <w:rPr>
              <w:rFonts w:ascii="Times New Roman" w:eastAsia="Times New Roman" w:hAnsi="Times New Roman" w:cs="Times New Roman"/>
              <w:color w:val="000000"/>
            </w:rPr>
            <w:t>(2). https://doi.org/https://doi.org/10.57178/paradoks.v8i2.1284</w:t>
          </w:r>
        </w:p>
        <w:p w14:paraId="322C45B8" w14:textId="77777777" w:rsidR="00ED16D1" w:rsidRPr="00ED16D1" w:rsidRDefault="00ED16D1" w:rsidP="00B82E85">
          <w:pPr>
            <w:autoSpaceDE w:val="0"/>
            <w:autoSpaceDN w:val="0"/>
            <w:ind w:hanging="480"/>
            <w:jc w:val="both"/>
            <w:divId w:val="165571759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Sari, R., Wahyudi, T., &amp; Isnurhadi. (2018). Pengaruh Pengungkapan Coporate Social Responsibility dan Jumlah Komite Audit terhadap Nilai Perusahaan dengan Ukuran Perusahaan sebagai Variabel Moderator di Bursa Efek Indonesia. </w:t>
          </w:r>
          <w:r w:rsidRPr="00ED16D1">
            <w:rPr>
              <w:rFonts w:ascii="Times New Roman" w:eastAsia="Times New Roman" w:hAnsi="Times New Roman" w:cs="Times New Roman"/>
              <w:i/>
              <w:iCs/>
              <w:color w:val="000000"/>
            </w:rPr>
            <w:t>Jurnal Muara Ilmu Ekonomi Dan Bisnis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2</w:t>
          </w:r>
          <w:r w:rsidRPr="00ED16D1">
            <w:rPr>
              <w:rFonts w:ascii="Times New Roman" w:eastAsia="Times New Roman" w:hAnsi="Times New Roman" w:cs="Times New Roman"/>
              <w:color w:val="000000"/>
            </w:rPr>
            <w:t>(1), 210–217. https://scholar.googleusercontent.com/scholar?q=cache:_zAl4O5jrNYJ:scholar.google.com/+PENGARUH+PENGUNGKAPAN+CORPORATE+SOCIAL+RESPONSIBILITY+DAN+JUMLAH+KOMITE+AUDIT+TERHADAP+NILAI+PERUSAHAAN+DENGAN+UKURAN+PERUSAHAAN+SEBAGAI+VARIABEL+MODERATOR+DI+BURSA+EFEK+INDONESIA&amp;hl=id&amp;as_sdt=0,5</w:t>
          </w:r>
        </w:p>
        <w:p w14:paraId="677B719E" w14:textId="77777777" w:rsidR="00ED16D1" w:rsidRPr="00ED16D1" w:rsidRDefault="00ED16D1" w:rsidP="00B82E85">
          <w:pPr>
            <w:autoSpaceDE w:val="0"/>
            <w:autoSpaceDN w:val="0"/>
            <w:ind w:hanging="480"/>
            <w:jc w:val="both"/>
            <w:divId w:val="115568764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Septriana, T., Kuntadi, C., &amp; Pramukty, R. (2023). Startegi Industri Hijau, Pengungkapan Laporan Keberlanjutan dan Pertumbuhan Penjualan terhadap Nilai Perusahaan di Sektor Pertambangan. </w:t>
          </w:r>
          <w:r w:rsidRPr="00ED16D1">
            <w:rPr>
              <w:rFonts w:ascii="Times New Roman" w:eastAsia="Times New Roman" w:hAnsi="Times New Roman" w:cs="Times New Roman"/>
              <w:i/>
              <w:iCs/>
              <w:color w:val="000000"/>
            </w:rPr>
            <w:t>JURNALSOSIAL DAN SAINS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3</w:t>
          </w:r>
          <w:r w:rsidRPr="00ED16D1">
            <w:rPr>
              <w:rFonts w:ascii="Times New Roman" w:eastAsia="Times New Roman" w:hAnsi="Times New Roman" w:cs="Times New Roman"/>
              <w:color w:val="000000"/>
            </w:rPr>
            <w:t>(4). http://sosains.greenvest.co.id</w:t>
          </w:r>
        </w:p>
        <w:p w14:paraId="05C2A912" w14:textId="77777777" w:rsidR="00ED16D1" w:rsidRPr="00ED16D1" w:rsidRDefault="00ED16D1" w:rsidP="00B82E85">
          <w:pPr>
            <w:autoSpaceDE w:val="0"/>
            <w:autoSpaceDN w:val="0"/>
            <w:ind w:hanging="480"/>
            <w:jc w:val="both"/>
            <w:divId w:val="1877310054"/>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Setyawati, D., &amp; Bernawati, Y. (2020). Internal Audit Function sebagai Penyedia “Kenyamanan” Komite Audit. </w:t>
          </w:r>
          <w:r w:rsidRPr="00ED16D1">
            <w:rPr>
              <w:rFonts w:ascii="Times New Roman" w:eastAsia="Times New Roman" w:hAnsi="Times New Roman" w:cs="Times New Roman"/>
              <w:i/>
              <w:iCs/>
              <w:color w:val="000000"/>
            </w:rPr>
            <w:t>Jurnal Akuntansi Multiparadigma</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11</w:t>
          </w:r>
          <w:r w:rsidRPr="00ED16D1">
            <w:rPr>
              <w:rFonts w:ascii="Times New Roman" w:eastAsia="Times New Roman" w:hAnsi="Times New Roman" w:cs="Times New Roman"/>
              <w:color w:val="000000"/>
            </w:rPr>
            <w:t>(3), 665–682. https://doi.org/10.21776/ub.jamal.2020.11.3.38</w:t>
          </w:r>
        </w:p>
        <w:p w14:paraId="17DCD5E2" w14:textId="77777777" w:rsidR="00ED16D1" w:rsidRPr="00ED16D1" w:rsidRDefault="00ED16D1" w:rsidP="00B82E85">
          <w:pPr>
            <w:autoSpaceDE w:val="0"/>
            <w:autoSpaceDN w:val="0"/>
            <w:ind w:hanging="480"/>
            <w:jc w:val="both"/>
            <w:divId w:val="100617812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Shamaya, V. P., Alhabsyi, A. K., &amp; Pandin, M. Y. R. (2024). Keterlibatan Pemangku Kepentingan dalam Laporan Keberlanjutan PT Pertamina Berbasis GRI Standar 2021. </w:t>
          </w:r>
          <w:r w:rsidRPr="00ED16D1">
            <w:rPr>
              <w:rFonts w:ascii="Times New Roman" w:eastAsia="Times New Roman" w:hAnsi="Times New Roman" w:cs="Times New Roman"/>
              <w:i/>
              <w:iCs/>
              <w:color w:val="000000"/>
            </w:rPr>
            <w:t>Jurnal Penelitian Ekonomi Akuntansi (JENSI)</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8</w:t>
          </w:r>
          <w:r w:rsidRPr="00ED16D1">
            <w:rPr>
              <w:rFonts w:ascii="Times New Roman" w:eastAsia="Times New Roman" w:hAnsi="Times New Roman" w:cs="Times New Roman"/>
              <w:color w:val="000000"/>
            </w:rPr>
            <w:t>(2). https://doi.org/https://doi.org/10.33059/jensi.v8i2.10657</w:t>
          </w:r>
        </w:p>
        <w:p w14:paraId="0E05F760" w14:textId="77777777" w:rsidR="00ED16D1" w:rsidRPr="00ED16D1" w:rsidRDefault="00ED16D1" w:rsidP="00B82E85">
          <w:pPr>
            <w:autoSpaceDE w:val="0"/>
            <w:autoSpaceDN w:val="0"/>
            <w:ind w:hanging="480"/>
            <w:jc w:val="both"/>
            <w:divId w:val="1130246707"/>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Sìmnett, R., Vanstraelen, A., &amp; Chua, W. F. (2009). Assurance on Sustainability Reports: An International Comparison. </w:t>
          </w:r>
          <w:r w:rsidRPr="00ED16D1">
            <w:rPr>
              <w:rFonts w:ascii="Times New Roman" w:eastAsia="Times New Roman" w:hAnsi="Times New Roman" w:cs="Times New Roman"/>
              <w:i/>
              <w:iCs/>
              <w:color w:val="000000"/>
            </w:rPr>
            <w:t>Accounting Review</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84</w:t>
          </w:r>
          <w:r w:rsidRPr="00ED16D1">
            <w:rPr>
              <w:rFonts w:ascii="Times New Roman" w:eastAsia="Times New Roman" w:hAnsi="Times New Roman" w:cs="Times New Roman"/>
              <w:color w:val="000000"/>
            </w:rPr>
            <w:t>(3), 937–967. https://doi.org/10.2308/accr.2009.84.3.937</w:t>
          </w:r>
        </w:p>
        <w:p w14:paraId="15EFE12A" w14:textId="77777777" w:rsidR="00ED16D1" w:rsidRPr="00ED16D1" w:rsidRDefault="00ED16D1" w:rsidP="00B82E85">
          <w:pPr>
            <w:autoSpaceDE w:val="0"/>
            <w:autoSpaceDN w:val="0"/>
            <w:ind w:hanging="480"/>
            <w:jc w:val="both"/>
            <w:divId w:val="152590475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Spence, M. (2009). Job Market Signaling. </w:t>
          </w:r>
          <w:r w:rsidRPr="00ED16D1">
            <w:rPr>
              <w:rFonts w:ascii="Times New Roman" w:eastAsia="Times New Roman" w:hAnsi="Times New Roman" w:cs="Times New Roman"/>
              <w:i/>
              <w:iCs/>
              <w:color w:val="000000"/>
            </w:rPr>
            <w:t>Uncertainty in Economics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87</w:t>
          </w:r>
          <w:r w:rsidRPr="00ED16D1">
            <w:rPr>
              <w:rFonts w:ascii="Times New Roman" w:eastAsia="Times New Roman" w:hAnsi="Times New Roman" w:cs="Times New Roman"/>
              <w:color w:val="000000"/>
            </w:rPr>
            <w:t>(3), 355–374. https://doi.org/https://doi.org/10.1016/B978-0-12-214850-7.50025-5</w:t>
          </w:r>
        </w:p>
        <w:p w14:paraId="2E9DC015" w14:textId="77777777" w:rsidR="00ED16D1" w:rsidRPr="00ED16D1" w:rsidRDefault="00ED16D1" w:rsidP="00B82E85">
          <w:pPr>
            <w:autoSpaceDE w:val="0"/>
            <w:autoSpaceDN w:val="0"/>
            <w:ind w:hanging="480"/>
            <w:jc w:val="both"/>
            <w:divId w:val="537472022"/>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Sugiyono. (2013). </w:t>
          </w:r>
          <w:r w:rsidRPr="00ED16D1">
            <w:rPr>
              <w:rFonts w:ascii="Times New Roman" w:eastAsia="Times New Roman" w:hAnsi="Times New Roman" w:cs="Times New Roman"/>
              <w:i/>
              <w:iCs/>
              <w:color w:val="000000"/>
            </w:rPr>
            <w:t>Metode Penelitian Kuantitatif Kualitatif dan R&amp;D</w:t>
          </w:r>
          <w:r w:rsidRPr="00ED16D1">
            <w:rPr>
              <w:rFonts w:ascii="Times New Roman" w:eastAsia="Times New Roman" w:hAnsi="Times New Roman" w:cs="Times New Roman"/>
              <w:color w:val="000000"/>
            </w:rPr>
            <w:t xml:space="preserve"> (19th ed.). ALFABETA. https://scholar.googleusercontent.com/scholar?q=cache:xTSMSH94SX8J:scholar.google.com/+METODE+PENELITIAN+KUANTITATIF+KUALITATIF+DAN+R%26D&amp;hl=id&amp;as_sdt=0,5</w:t>
          </w:r>
        </w:p>
        <w:p w14:paraId="74DEA577" w14:textId="77777777" w:rsidR="00ED16D1" w:rsidRPr="00ED16D1" w:rsidRDefault="00ED16D1" w:rsidP="00B82E85">
          <w:pPr>
            <w:autoSpaceDE w:val="0"/>
            <w:autoSpaceDN w:val="0"/>
            <w:ind w:hanging="480"/>
            <w:jc w:val="both"/>
            <w:divId w:val="1378698891"/>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Suhadi, D. (2009). Pengaruh Rasio Aktivitas, Rasio Profitabilitas, Rasio Laverage, dan Rasio Penilaian terhadap Harga Saham Perusahaan Food and Beverage. </w:t>
          </w:r>
          <w:r w:rsidRPr="00ED16D1">
            <w:rPr>
              <w:rFonts w:ascii="Times New Roman" w:eastAsia="Times New Roman" w:hAnsi="Times New Roman" w:cs="Times New Roman"/>
              <w:i/>
              <w:iCs/>
              <w:color w:val="000000"/>
            </w:rPr>
            <w:t>JURNAL INFORMASI, PERPAJAKAN, AKUNTANSI DAN KEUANGAN PUBLIK</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4</w:t>
          </w:r>
          <w:r w:rsidRPr="00ED16D1">
            <w:rPr>
              <w:rFonts w:ascii="Times New Roman" w:eastAsia="Times New Roman" w:hAnsi="Times New Roman" w:cs="Times New Roman"/>
              <w:color w:val="000000"/>
            </w:rPr>
            <w:t>(1), 17–35. https://scholar.googleusercontent.com/scholar?q=cache:VsJ1IBJbdCsJ:scholar.google.com/+PENGARUH+RASIO+AKTIVITAS,+RASIO+PROFITABILITAS,+RASIO+LAVERAGE,+DAN+RASIO+PENILAIAN+TERHADAP+HARGA+SAHAM+PERUSAHAAN+FOOD+AND+BEVERAGE&amp;hl=id&amp;as_sdt=0,5</w:t>
          </w:r>
        </w:p>
        <w:p w14:paraId="1C7EBD25" w14:textId="77777777" w:rsidR="00ED16D1" w:rsidRPr="00ED16D1" w:rsidRDefault="00ED16D1" w:rsidP="00B82E85">
          <w:pPr>
            <w:autoSpaceDE w:val="0"/>
            <w:autoSpaceDN w:val="0"/>
            <w:ind w:hanging="480"/>
            <w:jc w:val="both"/>
            <w:divId w:val="1572305352"/>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Sukma, F. M. (2021). Peran Firm Size, Current Ratio, Debt to Asset Ratio, dan Return on Equity terhadap Price to Book Value terhadap Perusahaan Telekomunikasi yang terdaftar di Bursa Efek Indonesia Periode 2014-2020. </w:t>
          </w:r>
          <w:r w:rsidRPr="00ED16D1">
            <w:rPr>
              <w:rFonts w:ascii="Times New Roman" w:eastAsia="Times New Roman" w:hAnsi="Times New Roman" w:cs="Times New Roman"/>
              <w:i/>
              <w:iCs/>
              <w:color w:val="000000"/>
            </w:rPr>
            <w:t>Improvement: Jurnal Manajemen Dan Bisnis</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w:t>
          </w:r>
          <w:r w:rsidRPr="00ED16D1">
            <w:rPr>
              <w:rFonts w:ascii="Times New Roman" w:eastAsia="Times New Roman" w:hAnsi="Times New Roman" w:cs="Times New Roman"/>
              <w:color w:val="000000"/>
            </w:rPr>
            <w:t>(1). https://doi.org/https://doi.org/10.30651/imp.v1i1.9528</w:t>
          </w:r>
        </w:p>
        <w:p w14:paraId="452AF21B" w14:textId="77777777" w:rsidR="00ED16D1" w:rsidRPr="00ED16D1" w:rsidRDefault="00ED16D1" w:rsidP="00B82E85">
          <w:pPr>
            <w:autoSpaceDE w:val="0"/>
            <w:autoSpaceDN w:val="0"/>
            <w:ind w:hanging="480"/>
            <w:jc w:val="both"/>
            <w:divId w:val="412625187"/>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Susanto, Y. K., &amp; Tarigan, J. (2013). </w:t>
          </w:r>
          <w:r w:rsidRPr="00ED16D1">
            <w:rPr>
              <w:rFonts w:ascii="Times New Roman" w:eastAsia="Times New Roman" w:hAnsi="Times New Roman" w:cs="Times New Roman"/>
              <w:i/>
              <w:iCs/>
              <w:color w:val="000000"/>
            </w:rPr>
            <w:t>Pengaruh Pengungkapan Sustainability Report terhadap Profitabilitas Perusahaan</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1</w:t>
          </w:r>
          <w:r w:rsidRPr="00ED16D1">
            <w:rPr>
              <w:rFonts w:ascii="Times New Roman" w:eastAsia="Times New Roman" w:hAnsi="Times New Roman" w:cs="Times New Roman"/>
              <w:color w:val="000000"/>
            </w:rPr>
            <w:t>. https://scholar.googleusercontent.com/scholar?q=cache:bzqVWM8VILsJ:scholar.google.com/+Pengaruh+Pengungkapan+Sustainability+Report+terhadap+Profitabilitas+Perusahaan.&amp;hl=id&amp;as_sdt=0,5</w:t>
          </w:r>
        </w:p>
        <w:p w14:paraId="1B96E275" w14:textId="77777777" w:rsidR="00ED16D1" w:rsidRPr="00ED16D1" w:rsidRDefault="00ED16D1" w:rsidP="00B82E85">
          <w:pPr>
            <w:autoSpaceDE w:val="0"/>
            <w:autoSpaceDN w:val="0"/>
            <w:ind w:hanging="480"/>
            <w:jc w:val="both"/>
            <w:divId w:val="1018657909"/>
            <w:rPr>
              <w:rFonts w:ascii="Times New Roman" w:eastAsia="Times New Roman" w:hAnsi="Times New Roman" w:cs="Times New Roman"/>
              <w:color w:val="000000"/>
            </w:rPr>
          </w:pPr>
          <w:r w:rsidRPr="00ED16D1">
            <w:rPr>
              <w:rFonts w:ascii="Times New Roman" w:eastAsia="Times New Roman" w:hAnsi="Times New Roman" w:cs="Times New Roman"/>
              <w:color w:val="000000"/>
            </w:rPr>
            <w:lastRenderedPageBreak/>
            <w:t xml:space="preserve">Syahputra, M. D. H., Anshari, R., &amp; Pribadi, M. I. (2025). Dampak Keahlian Komite Audit dan Frekuensi Rapat Komite Audit terhadap Kualitas Pelaporan Keuangan di Sektor Infrastruktur. </w:t>
          </w:r>
          <w:r w:rsidRPr="00ED16D1">
            <w:rPr>
              <w:rFonts w:ascii="Times New Roman" w:eastAsia="Times New Roman" w:hAnsi="Times New Roman" w:cs="Times New Roman"/>
              <w:i/>
              <w:iCs/>
              <w:color w:val="000000"/>
            </w:rPr>
            <w:t>IKRAITH-EKONOMIKA</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8</w:t>
          </w:r>
          <w:r w:rsidRPr="00ED16D1">
            <w:rPr>
              <w:rFonts w:ascii="Times New Roman" w:eastAsia="Times New Roman" w:hAnsi="Times New Roman" w:cs="Times New Roman"/>
              <w:color w:val="000000"/>
            </w:rPr>
            <w:t>. https://doi.org/10.37817/IKRAITH-EKONOMIKA</w:t>
          </w:r>
        </w:p>
        <w:p w14:paraId="067A6485" w14:textId="77777777" w:rsidR="00ED16D1" w:rsidRPr="00ED16D1" w:rsidRDefault="00ED16D1" w:rsidP="00B82E85">
          <w:pPr>
            <w:autoSpaceDE w:val="0"/>
            <w:autoSpaceDN w:val="0"/>
            <w:ind w:hanging="480"/>
            <w:jc w:val="both"/>
            <w:divId w:val="826240362"/>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Wibowo, L. K. (2020). </w:t>
          </w:r>
          <w:r w:rsidRPr="00ED16D1">
            <w:rPr>
              <w:rFonts w:ascii="Times New Roman" w:eastAsia="Times New Roman" w:hAnsi="Times New Roman" w:cs="Times New Roman"/>
              <w:i/>
              <w:iCs/>
              <w:color w:val="000000"/>
            </w:rPr>
            <w:t>Pengaruh Pengungkapan Sustainability Report terhadap Nilai Perusahaan pada Perusahaan Yang Terdaftar di Indeks Saham Sri-Kehati Periode 2017-2019</w:t>
          </w:r>
          <w:r w:rsidRPr="00ED16D1">
            <w:rPr>
              <w:rFonts w:ascii="Times New Roman" w:eastAsia="Times New Roman" w:hAnsi="Times New Roman" w:cs="Times New Roman"/>
              <w:color w:val="000000"/>
            </w:rPr>
            <w:t>. https://scholar.googleusercontent.com/scholar?q=cache:kt_BWnovv5EJ:scholar.google.com/+PENGARUH+PENGUNGKAPAN+SUSTAINABILITY+REPORT+TERHADAP+NILAI+PERUSAHAAN+PADA+PERUSAHAAN+YANG+TERDAFTAR+DI+INDEKS+SAHAM+SRI-KEHATI+PERIODE+2017-2019&amp;hl=id&amp;as_sdt=0,5</w:t>
          </w:r>
        </w:p>
        <w:p w14:paraId="206EF6C5" w14:textId="77777777" w:rsidR="00ED16D1" w:rsidRPr="00ED16D1" w:rsidRDefault="00ED16D1" w:rsidP="00B82E85">
          <w:pPr>
            <w:autoSpaceDE w:val="0"/>
            <w:autoSpaceDN w:val="0"/>
            <w:ind w:hanging="480"/>
            <w:jc w:val="both"/>
            <w:divId w:val="514000023"/>
            <w:rPr>
              <w:rFonts w:ascii="Times New Roman" w:eastAsia="Times New Roman" w:hAnsi="Times New Roman" w:cs="Times New Roman"/>
              <w:color w:val="000000"/>
            </w:rPr>
          </w:pPr>
          <w:r w:rsidRPr="00ED16D1">
            <w:rPr>
              <w:rFonts w:ascii="Times New Roman" w:eastAsia="Times New Roman" w:hAnsi="Times New Roman" w:cs="Times New Roman"/>
              <w:color w:val="000000"/>
            </w:rPr>
            <w:t xml:space="preserve">Xie, B., Davidson, W. N., Dadalt, P. J., &amp; Robinson, J. M. (2003). Earning Management and Corporate Governance: The Roles of the Board and the Audit Committee. </w:t>
          </w:r>
          <w:r w:rsidRPr="00ED16D1">
            <w:rPr>
              <w:rFonts w:ascii="Times New Roman" w:eastAsia="Times New Roman" w:hAnsi="Times New Roman" w:cs="Times New Roman"/>
              <w:i/>
              <w:iCs/>
              <w:color w:val="000000"/>
            </w:rPr>
            <w:t>Journal of Corporate Finance</w:t>
          </w:r>
          <w:r w:rsidRPr="00ED16D1">
            <w:rPr>
              <w:rFonts w:ascii="Times New Roman" w:eastAsia="Times New Roman" w:hAnsi="Times New Roman" w:cs="Times New Roman"/>
              <w:color w:val="000000"/>
            </w:rPr>
            <w:t xml:space="preserve">, </w:t>
          </w:r>
          <w:r w:rsidRPr="00ED16D1">
            <w:rPr>
              <w:rFonts w:ascii="Times New Roman" w:eastAsia="Times New Roman" w:hAnsi="Times New Roman" w:cs="Times New Roman"/>
              <w:i/>
              <w:iCs/>
              <w:color w:val="000000"/>
            </w:rPr>
            <w:t>9</w:t>
          </w:r>
          <w:r w:rsidRPr="00ED16D1">
            <w:rPr>
              <w:rFonts w:ascii="Times New Roman" w:eastAsia="Times New Roman" w:hAnsi="Times New Roman" w:cs="Times New Roman"/>
              <w:color w:val="000000"/>
            </w:rPr>
            <w:t>(3), 295–316. https://doi.org/https://doi.org/10.1016/S0929-1199(02)00006-8</w:t>
          </w:r>
        </w:p>
        <w:p w14:paraId="6D8FB333" w14:textId="77777777" w:rsidR="00ED16D1" w:rsidRDefault="00ED16D1" w:rsidP="00B82E85">
          <w:pPr>
            <w:jc w:val="both"/>
            <w:rPr>
              <w:rFonts w:ascii="Times New Roman" w:eastAsia="Times New Roman" w:hAnsi="Times New Roman" w:cs="Times New Roman"/>
            </w:rPr>
          </w:pPr>
          <w:r w:rsidRPr="00ED16D1">
            <w:rPr>
              <w:rFonts w:ascii="Times New Roman" w:eastAsia="Times New Roman" w:hAnsi="Times New Roman" w:cs="Times New Roman"/>
              <w:color w:val="000000"/>
            </w:rPr>
            <w:t> </w:t>
          </w:r>
        </w:p>
      </w:sdtContent>
    </w:sdt>
    <w:p w14:paraId="4477C999" w14:textId="2B72C8D7" w:rsidR="00092A4B" w:rsidRDefault="001B2295" w:rsidP="00B82E85">
      <w:pPr>
        <w:jc w:val="both"/>
        <w:rPr>
          <w:rFonts w:ascii="Times New Roman" w:eastAsia="Times New Roman" w:hAnsi="Times New Roman" w:cs="Times New Roman"/>
        </w:rPr>
      </w:pPr>
      <w:r>
        <w:rPr>
          <w:rFonts w:ascii="Times New Roman" w:eastAsia="Times New Roman" w:hAnsi="Times New Roman" w:cs="Times New Roman"/>
        </w:rPr>
        <w:t> </w:t>
      </w:r>
    </w:p>
    <w:p w14:paraId="427DD09E" w14:textId="77777777" w:rsidR="00092A4B" w:rsidRDefault="00092A4B" w:rsidP="00B82E85">
      <w:pPr>
        <w:jc w:val="both"/>
        <w:rPr>
          <w:rFonts w:ascii="Times New Roman" w:eastAsia="Times New Roman" w:hAnsi="Times New Roman" w:cs="Times New Roman"/>
        </w:rPr>
      </w:pPr>
      <w:bookmarkStart w:id="0" w:name="_GoBack"/>
      <w:bookmarkEnd w:id="0"/>
    </w:p>
    <w:sectPr w:rsidR="00092A4B" w:rsidSect="00B82E85">
      <w:headerReference w:type="even" r:id="rId11"/>
      <w:headerReference w:type="default" r:id="rId12"/>
      <w:footerReference w:type="even" r:id="rId13"/>
      <w:footerReference w:type="default" r:id="rId14"/>
      <w:headerReference w:type="first" r:id="rId15"/>
      <w:footerReference w:type="first" r:id="rId16"/>
      <w:pgSz w:w="12240" w:h="15840"/>
      <w:pgMar w:top="1321" w:right="1134" w:bottom="851" w:left="1701" w:header="720" w:footer="215" w:gutter="0"/>
      <w:pgNumType w:start="71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52DDC" w14:textId="77777777" w:rsidR="001B2295" w:rsidRDefault="001B2295">
      <w:r>
        <w:separator/>
      </w:r>
    </w:p>
  </w:endnote>
  <w:endnote w:type="continuationSeparator" w:id="0">
    <w:p w14:paraId="70E4A9BD" w14:textId="77777777" w:rsidR="001B2295" w:rsidRDefault="001B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6EEF3D7E-993E-46CE-8FB1-57A70EC19C8A}"/>
    <w:embedBold r:id="rId2" w:fontKey="{9BC53D67-A4FD-4ADB-9673-E4A8E47BF5E9}"/>
    <w:embedBoldItalic r:id="rId3" w:fontKey="{9644FE8A-CD99-4367-B78D-98ADA79B145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E28B3B80-B1D5-4FE7-B8F0-881710510C90}"/>
    <w:embedBold r:id="rId5" w:fontKey="{542BD1DF-9C77-48A4-A1A9-053D80004DC2}"/>
  </w:font>
  <w:font w:name="Quintessential">
    <w:altName w:val="Times New Roman"/>
    <w:charset w:val="00"/>
    <w:family w:val="auto"/>
    <w:pitch w:val="default"/>
    <w:embedBold r:id="rId6" w:fontKey="{E3AEE065-4679-439C-91B4-9C4B3561D2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56019" w14:textId="77777777" w:rsidR="00092A4B" w:rsidRDefault="001B2295">
    <w:pPr>
      <w:pBdr>
        <w:top w:val="nil"/>
        <w:left w:val="nil"/>
        <w:bottom w:val="nil"/>
        <w:right w:val="nil"/>
        <w:between w:val="nil"/>
      </w:pBdr>
      <w:tabs>
        <w:tab w:val="right" w:pos="9360"/>
      </w:tabs>
      <w:rPr>
        <w:rFonts w:ascii="Cambria" w:eastAsia="Cambria" w:hAnsi="Cambria" w:cs="Cambria"/>
        <w:b/>
        <w:bCs/>
      </w:rPr>
    </w:pPr>
    <w:r>
      <w:rPr>
        <w:rFonts w:ascii="Cambria" w:eastAsia="Cambria" w:hAnsi="Cambria" w:cs="Cambria"/>
        <w:b/>
        <w:bCs/>
      </w:rPr>
      <w:t>……………………………………………………………………………………………………………………………………..</w:t>
    </w:r>
  </w:p>
  <w:p w14:paraId="505497CA" w14:textId="77777777" w:rsidR="00092A4B" w:rsidRDefault="00092A4B">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704FF" w14:textId="77777777" w:rsidR="00092A4B" w:rsidRDefault="001B2295">
    <w:pPr>
      <w:pBdr>
        <w:top w:val="nil"/>
        <w:left w:val="nil"/>
        <w:bottom w:val="nil"/>
        <w:right w:val="nil"/>
        <w:between w:val="nil"/>
      </w:pBdr>
      <w:tabs>
        <w:tab w:val="right" w:pos="9360"/>
      </w:tabs>
      <w:rPr>
        <w:rFonts w:ascii="Cambria" w:eastAsia="Cambria" w:hAnsi="Cambria" w:cs="Cambria"/>
        <w:b/>
        <w:bCs/>
      </w:rPr>
    </w:pPr>
    <w:r>
      <w:rPr>
        <w:rFonts w:ascii="Cambria" w:eastAsia="Cambria" w:hAnsi="Cambria" w:cs="Cambria"/>
        <w:b/>
        <w:bCs/>
      </w:rPr>
      <w:t>……………………………………………………………………………………………………………………………………..</w:t>
    </w:r>
  </w:p>
  <w:p w14:paraId="5DE775A3" w14:textId="77777777" w:rsidR="00092A4B" w:rsidRDefault="00092A4B">
    <w:pPr>
      <w:pBdr>
        <w:top w:val="nil"/>
        <w:left w:val="nil"/>
        <w:bottom w:val="nil"/>
        <w:right w:val="nil"/>
        <w:between w:val="nil"/>
      </w:pBdr>
      <w:tabs>
        <w:tab w:val="center" w:pos="4680"/>
        <w:tab w:val="right" w:pos="9360"/>
      </w:tabs>
      <w:jc w:val="center"/>
      <w:rPr>
        <w:rFonts w:ascii="Cambria" w:eastAsia="Cambria" w:hAnsi="Cambria" w:cs="Cambria"/>
        <w:b/>
        <w:bCs/>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DF964" w14:textId="77777777" w:rsidR="00092A4B" w:rsidRDefault="00092A4B">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5D0EC" w14:textId="77777777" w:rsidR="001B2295" w:rsidRDefault="001B2295">
      <w:r>
        <w:separator/>
      </w:r>
    </w:p>
  </w:footnote>
  <w:footnote w:type="continuationSeparator" w:id="0">
    <w:p w14:paraId="40B02B51" w14:textId="77777777" w:rsidR="001B2295" w:rsidRDefault="001B2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D0144" w14:textId="77777777" w:rsidR="00092A4B" w:rsidRDefault="001B2295">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bCs/>
      </w:rPr>
    </w:pPr>
    <w:r>
      <w:rPr>
        <w:rFonts w:ascii="Quintessential" w:eastAsia="Quintessential" w:hAnsi="Quintessential" w:cs="Quintessential"/>
        <w:b/>
        <w:bCs/>
      </w:rPr>
      <w:fldChar w:fldCharType="begin"/>
    </w:r>
    <w:r>
      <w:rPr>
        <w:rFonts w:ascii="Quintessential" w:eastAsia="Quintessential" w:hAnsi="Quintessential" w:cs="Quintessential"/>
        <w:b/>
        <w:bCs/>
      </w:rPr>
      <w:instrText>PAGE</w:instrText>
    </w:r>
    <w:r>
      <w:rPr>
        <w:rFonts w:ascii="Quintessential" w:eastAsia="Quintessential" w:hAnsi="Quintessential" w:cs="Quintessential"/>
        <w:b/>
        <w:bCs/>
      </w:rPr>
      <w:fldChar w:fldCharType="separate"/>
    </w:r>
    <w:r w:rsidR="00DE5011">
      <w:rPr>
        <w:rFonts w:ascii="Quintessential" w:eastAsia="Quintessential" w:hAnsi="Quintessential" w:cs="Quintessential"/>
        <w:b/>
        <w:bCs/>
        <w:noProof/>
      </w:rPr>
      <w:t>7202</w:t>
    </w:r>
    <w:r>
      <w:rPr>
        <w:rFonts w:ascii="Quintessential" w:eastAsia="Quintessential" w:hAnsi="Quintessential" w:cs="Quintessential"/>
        <w:b/>
        <w:bCs/>
      </w:rPr>
      <w:fldChar w:fldCharType="end"/>
    </w:r>
  </w:p>
  <w:p w14:paraId="5D664CCB" w14:textId="77777777" w:rsidR="00092A4B" w:rsidRDefault="001B2295">
    <w:pPr>
      <w:pBdr>
        <w:top w:val="nil"/>
        <w:left w:val="nil"/>
        <w:bottom w:val="nil"/>
        <w:right w:val="nil"/>
        <w:between w:val="nil"/>
      </w:pBdr>
      <w:tabs>
        <w:tab w:val="center" w:pos="4680"/>
        <w:tab w:val="right" w:pos="9360"/>
      </w:tabs>
      <w:rPr>
        <w:rFonts w:ascii="Cambria" w:eastAsia="Cambria" w:hAnsi="Cambria" w:cs="Cambria"/>
        <w:b/>
        <w:bCs/>
      </w:rPr>
    </w:pPr>
    <w:r>
      <w:rPr>
        <w:rFonts w:ascii="Cambria" w:eastAsia="Cambria" w:hAnsi="Cambria" w:cs="Cambria"/>
        <w:b/>
        <w:bCs/>
      </w:rPr>
      <w:t>PESHUM : Jurnal Pendidikan, Sosial dan Humaniora</w:t>
    </w:r>
  </w:p>
  <w:p w14:paraId="389CDF57" w14:textId="4DF457E9" w:rsidR="00092A4B" w:rsidRDefault="00B82E85">
    <w:pPr>
      <w:pBdr>
        <w:top w:val="nil"/>
        <w:left w:val="nil"/>
        <w:bottom w:val="nil"/>
        <w:right w:val="nil"/>
        <w:between w:val="nil"/>
      </w:pBdr>
      <w:tabs>
        <w:tab w:val="center" w:pos="4680"/>
        <w:tab w:val="right" w:pos="9360"/>
      </w:tabs>
      <w:rPr>
        <w:rFonts w:ascii="Cambria" w:eastAsia="Cambria" w:hAnsi="Cambria" w:cs="Cambria"/>
        <w:b/>
        <w:bCs/>
      </w:rPr>
    </w:pPr>
    <w:r>
      <w:rPr>
        <w:rFonts w:ascii="Cambria" w:eastAsia="Cambria" w:hAnsi="Cambria" w:cs="Cambria"/>
        <w:b/>
      </w:rPr>
      <w:t>Vol.5, No.3, April 2026</w:t>
    </w:r>
  </w:p>
  <w:p w14:paraId="7530CD0A" w14:textId="77777777" w:rsidR="00092A4B" w:rsidRDefault="001B2295">
    <w:pPr>
      <w:pBdr>
        <w:top w:val="nil"/>
        <w:left w:val="nil"/>
        <w:bottom w:val="nil"/>
        <w:right w:val="nil"/>
        <w:between w:val="nil"/>
      </w:pBdr>
      <w:tabs>
        <w:tab w:val="center" w:pos="4680"/>
        <w:tab w:val="right" w:pos="9360"/>
      </w:tabs>
      <w:rPr>
        <w:rFonts w:ascii="Cambria" w:eastAsia="Cambria" w:hAnsi="Cambria" w:cs="Cambria"/>
        <w:b/>
        <w:bCs/>
      </w:rPr>
    </w:pPr>
    <w:r>
      <w:rPr>
        <w:noProof/>
        <w:lang w:val="en-US" w:eastAsia="en-US"/>
      </w:rPr>
      <mc:AlternateContent>
        <mc:Choice Requires="wpg">
          <w:drawing>
            <wp:anchor distT="0" distB="0" distL="114300" distR="114300" simplePos="0" relativeHeight="251659264" behindDoc="0" locked="0" layoutInCell="1" hidden="0" allowOverlap="1" wp14:anchorId="3F48930C" wp14:editId="5E3DF7EB">
              <wp:simplePos x="0" y="0"/>
              <wp:positionH relativeFrom="column">
                <wp:posOffset>-4760</wp:posOffset>
              </wp:positionH>
              <wp:positionV relativeFrom="paragraph">
                <wp:posOffset>20638</wp:posOffset>
              </wp:positionV>
              <wp:extent cx="6005195" cy="74294"/>
              <wp:effectExtent l="0" t="0" r="0" b="0"/>
              <wp:wrapNone/>
              <wp:docPr id="2" name="Rectangle 2"/>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48B767CA" w14:textId="77777777" w:rsidR="00092A4B" w:rsidRDefault="00092A4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-4760</wp:posOffset>
              </wp:positionH>
              <wp:positionV relativeFrom="paragraph">
                <wp:posOffset>20638</wp:posOffset>
              </wp:positionV>
              <wp:extent cx="6005195" cy="74294"/>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05195" cy="74294"/>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B6D86" w14:textId="77777777" w:rsidR="00092A4B" w:rsidRDefault="001B2295">
    <w:pPr>
      <w:pBdr>
        <w:top w:val="nil"/>
        <w:left w:val="nil"/>
        <w:bottom w:val="nil"/>
        <w:right w:val="nil"/>
        <w:between w:val="nil"/>
      </w:pBdr>
      <w:tabs>
        <w:tab w:val="center" w:pos="4680"/>
        <w:tab w:val="right" w:pos="9360"/>
      </w:tabs>
      <w:jc w:val="right"/>
      <w:rPr>
        <w:rFonts w:ascii="Quintessential" w:eastAsia="Quintessential" w:hAnsi="Quintessential" w:cs="Quintessential"/>
        <w:b/>
        <w:bCs/>
      </w:rPr>
    </w:pPr>
    <w:r>
      <w:rPr>
        <w:rFonts w:ascii="Quintessential" w:eastAsia="Quintessential" w:hAnsi="Quintessential" w:cs="Quintessential"/>
        <w:b/>
        <w:bCs/>
      </w:rPr>
      <w:tab/>
    </w:r>
    <w:r>
      <w:rPr>
        <w:rFonts w:ascii="Quintessential" w:eastAsia="Quintessential" w:hAnsi="Quintessential" w:cs="Quintessential"/>
        <w:b/>
        <w:bCs/>
      </w:rPr>
      <w:fldChar w:fldCharType="begin"/>
    </w:r>
    <w:r>
      <w:rPr>
        <w:rFonts w:ascii="Quintessential" w:eastAsia="Quintessential" w:hAnsi="Quintessential" w:cs="Quintessential"/>
        <w:b/>
        <w:bCs/>
      </w:rPr>
      <w:instrText>PAGE</w:instrText>
    </w:r>
    <w:r>
      <w:rPr>
        <w:rFonts w:ascii="Quintessential" w:eastAsia="Quintessential" w:hAnsi="Quintessential" w:cs="Quintessential"/>
        <w:b/>
        <w:bCs/>
      </w:rPr>
      <w:fldChar w:fldCharType="separate"/>
    </w:r>
    <w:r w:rsidR="00DE5011">
      <w:rPr>
        <w:rFonts w:ascii="Quintessential" w:eastAsia="Quintessential" w:hAnsi="Quintessential" w:cs="Quintessential"/>
        <w:b/>
        <w:bCs/>
        <w:noProof/>
      </w:rPr>
      <w:t>7185</w:t>
    </w:r>
    <w:r>
      <w:rPr>
        <w:rFonts w:ascii="Quintessential" w:eastAsia="Quintessential" w:hAnsi="Quintessential" w:cs="Quintessential"/>
        <w:b/>
        <w:bCs/>
      </w:rPr>
      <w:fldChar w:fldCharType="end"/>
    </w:r>
  </w:p>
  <w:p w14:paraId="3E157709" w14:textId="77777777" w:rsidR="00092A4B" w:rsidRDefault="001B2295">
    <w:pPr>
      <w:pBdr>
        <w:top w:val="nil"/>
        <w:left w:val="nil"/>
        <w:bottom w:val="nil"/>
        <w:right w:val="nil"/>
        <w:between w:val="nil"/>
      </w:pBdr>
      <w:tabs>
        <w:tab w:val="center" w:pos="4680"/>
        <w:tab w:val="right" w:pos="9360"/>
      </w:tabs>
      <w:jc w:val="right"/>
      <w:rPr>
        <w:rFonts w:ascii="Cambria" w:eastAsia="Cambria" w:hAnsi="Cambria" w:cs="Cambria"/>
        <w:b/>
        <w:bCs/>
      </w:rPr>
    </w:pPr>
    <w:r>
      <w:rPr>
        <w:rFonts w:ascii="Cambria" w:eastAsia="Cambria" w:hAnsi="Cambria" w:cs="Cambria"/>
        <w:b/>
        <w:bCs/>
      </w:rPr>
      <w:t xml:space="preserve">PESHUM : Jurnal Pendidikan, </w:t>
    </w:r>
    <w:r>
      <w:rPr>
        <w:rFonts w:ascii="Cambria" w:eastAsia="Cambria" w:hAnsi="Cambria" w:cs="Cambria"/>
        <w:b/>
        <w:bCs/>
      </w:rPr>
      <w:t>Sosial dan Humaniora</w:t>
    </w:r>
  </w:p>
  <w:p w14:paraId="58846770" w14:textId="2A8F3FC6" w:rsidR="00092A4B" w:rsidRDefault="00B82E85">
    <w:pPr>
      <w:pBdr>
        <w:top w:val="nil"/>
        <w:left w:val="nil"/>
        <w:bottom w:val="nil"/>
        <w:right w:val="nil"/>
        <w:between w:val="nil"/>
      </w:pBdr>
      <w:tabs>
        <w:tab w:val="center" w:pos="4680"/>
        <w:tab w:val="right" w:pos="9360"/>
      </w:tabs>
      <w:jc w:val="right"/>
      <w:rPr>
        <w:rFonts w:ascii="Cambria" w:eastAsia="Cambria" w:hAnsi="Cambria" w:cs="Cambria"/>
        <w:b/>
        <w:bCs/>
      </w:rPr>
    </w:pPr>
    <w:r>
      <w:rPr>
        <w:rFonts w:ascii="Cambria" w:eastAsia="Cambria" w:hAnsi="Cambria" w:cs="Cambria"/>
        <w:b/>
      </w:rPr>
      <w:t>Vol.5, No.3, April 2026</w:t>
    </w:r>
  </w:p>
  <w:p w14:paraId="6A81255A" w14:textId="77777777" w:rsidR="00092A4B" w:rsidRDefault="001B2295">
    <w:r>
      <w:rPr>
        <w:noProof/>
        <w:lang w:val="en-US" w:eastAsia="en-US"/>
      </w:rPr>
      <mc:AlternateContent>
        <mc:Choice Requires="wpg">
          <w:drawing>
            <wp:anchor distT="0" distB="0" distL="114300" distR="114300" simplePos="0" relativeHeight="251658240" behindDoc="0" locked="0" layoutInCell="1" hidden="0" allowOverlap="1" wp14:anchorId="0A5CD3EE" wp14:editId="263B17F8">
              <wp:simplePos x="0" y="0"/>
              <wp:positionH relativeFrom="column">
                <wp:posOffset>-4760</wp:posOffset>
              </wp:positionH>
              <wp:positionV relativeFrom="paragraph">
                <wp:posOffset>46038</wp:posOffset>
              </wp:positionV>
              <wp:extent cx="6005195" cy="74294"/>
              <wp:effectExtent l="0" t="0" r="0" b="0"/>
              <wp:wrapNone/>
              <wp:docPr id="1" name="Rectangle 1"/>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44135C03" w14:textId="77777777" w:rsidR="00092A4B" w:rsidRDefault="00092A4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-4760</wp:posOffset>
              </wp:positionH>
              <wp:positionV relativeFrom="paragraph">
                <wp:posOffset>46038</wp:posOffset>
              </wp:positionV>
              <wp:extent cx="6005195" cy="74294"/>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05195" cy="74294"/>
                      </a:xfrm>
                      <a:prstGeom prst="rect"/>
                      <a:ln/>
                    </pic:spPr>
                  </pic:pic>
                </a:graphicData>
              </a:graphic>
            </wp:anchor>
          </w:drawing>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9BC4F" w14:textId="77777777" w:rsidR="00092A4B" w:rsidRDefault="00092A4B">
    <w:pPr>
      <w:pBdr>
        <w:top w:val="nil"/>
        <w:left w:val="nil"/>
        <w:bottom w:val="nil"/>
        <w:right w:val="nil"/>
        <w:between w:val="nil"/>
      </w:pBd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4B"/>
    <w:rsid w:val="00092A4B"/>
    <w:rsid w:val="00163202"/>
    <w:rsid w:val="001B2295"/>
    <w:rsid w:val="00867FB8"/>
    <w:rsid w:val="00997CCB"/>
    <w:rsid w:val="00B82E85"/>
    <w:rsid w:val="00DB4285"/>
    <w:rsid w:val="00DE5011"/>
    <w:rsid w:val="00ED16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3791"/>
  <w15:docId w15:val="{59554BD8-627A-4B5F-B035-4C029ECA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before="240" w:after="60"/>
      <w:ind w:left="720" w:hanging="720"/>
      <w:outlineLvl w:val="0"/>
    </w:pPr>
    <w:rPr>
      <w:b/>
      <w:bCs/>
      <w:sz w:val="32"/>
      <w:szCs w:val="32"/>
    </w:rPr>
  </w:style>
  <w:style w:type="paragraph" w:styleId="Heading2">
    <w:name w:val="heading 2"/>
    <w:basedOn w:val="Normal"/>
    <w:next w:val="Normal"/>
    <w:uiPriority w:val="9"/>
    <w:semiHidden/>
    <w:unhideWhenUsed/>
    <w:qFormat/>
    <w:pPr>
      <w:keepNext/>
      <w:spacing w:before="240" w:after="60"/>
      <w:ind w:left="1440" w:hanging="720"/>
      <w:outlineLvl w:val="1"/>
    </w:pPr>
    <w:rPr>
      <w:b/>
      <w:bCs/>
      <w:i/>
      <w:iCs/>
      <w:sz w:val="28"/>
      <w:szCs w:val="28"/>
    </w:rPr>
  </w:style>
  <w:style w:type="paragraph" w:styleId="Heading3">
    <w:name w:val="heading 3"/>
    <w:basedOn w:val="Normal"/>
    <w:next w:val="Normal"/>
    <w:uiPriority w:val="9"/>
    <w:semiHidden/>
    <w:unhideWhenUsed/>
    <w:qFormat/>
    <w:pPr>
      <w:keepNext/>
      <w:spacing w:before="240" w:after="60"/>
      <w:ind w:left="2160" w:hanging="720"/>
      <w:outlineLvl w:val="2"/>
    </w:pPr>
    <w:rPr>
      <w:b/>
      <w:bCs/>
      <w:sz w:val="26"/>
      <w:szCs w:val="26"/>
    </w:rPr>
  </w:style>
  <w:style w:type="paragraph" w:styleId="Heading4">
    <w:name w:val="heading 4"/>
    <w:basedOn w:val="Normal"/>
    <w:next w:val="Normal"/>
    <w:uiPriority w:val="9"/>
    <w:semiHidden/>
    <w:unhideWhenUsed/>
    <w:qFormat/>
    <w:pPr>
      <w:keepNext/>
      <w:spacing w:before="240" w:after="60"/>
      <w:ind w:left="2880" w:hanging="720"/>
      <w:outlineLvl w:val="3"/>
    </w:pPr>
    <w:rPr>
      <w:b/>
      <w:bCs/>
      <w:sz w:val="28"/>
      <w:szCs w:val="28"/>
    </w:rPr>
  </w:style>
  <w:style w:type="paragraph" w:styleId="Heading5">
    <w:name w:val="heading 5"/>
    <w:basedOn w:val="Normal"/>
    <w:next w:val="Normal"/>
    <w:uiPriority w:val="9"/>
    <w:semiHidden/>
    <w:unhideWhenUsed/>
    <w:qFormat/>
    <w:pPr>
      <w:spacing w:before="240" w:after="60"/>
      <w:ind w:left="3600" w:hanging="720"/>
      <w:outlineLvl w:val="4"/>
    </w:pPr>
    <w:rPr>
      <w:b/>
      <w:bCs/>
      <w:i/>
      <w:iCs/>
      <w:sz w:val="26"/>
      <w:szCs w:val="26"/>
    </w:rPr>
  </w:style>
  <w:style w:type="paragraph" w:styleId="Heading6">
    <w:name w:val="heading 6"/>
    <w:basedOn w:val="Normal"/>
    <w:next w:val="Normal"/>
    <w:uiPriority w:val="9"/>
    <w:semiHidden/>
    <w:unhideWhenUsed/>
    <w:qFormat/>
    <w:pPr>
      <w:spacing w:before="240" w:after="60"/>
      <w:ind w:left="4320" w:hanging="72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line="360" w:lineRule="auto"/>
      <w:jc w:val="center"/>
    </w:pPr>
    <w:rPr>
      <w:rFonts w:ascii="Cambria" w:eastAsia="Cambria" w:hAnsi="Cambria" w:cs="Cambria"/>
      <w:b/>
      <w:bCs/>
      <w:sz w:val="32"/>
      <w:szCs w:val="32"/>
    </w:rPr>
  </w:style>
  <w:style w:type="paragraph" w:styleId="Subtitle">
    <w:name w:val="Subtitle"/>
    <w:basedOn w:val="Normal"/>
    <w:next w:val="Normal"/>
    <w:uiPriority w:val="11"/>
    <w:qFormat/>
    <w:pPr>
      <w:spacing w:after="60" w:line="276" w:lineRule="auto"/>
      <w:jc w:val="center"/>
    </w:pPr>
    <w:rPr>
      <w:rFonts w:ascii="Cambria" w:eastAsia="Cambria" w:hAnsi="Cambria" w:cs="Cambria"/>
    </w:rPr>
  </w:style>
  <w:style w:type="table" w:customStyle="1" w:styleId="a">
    <w:basedOn w:val="TableNormal0"/>
    <w:rPr>
      <w:color w:val="000000"/>
    </w:rPr>
    <w:tblPr>
      <w:tblStyleRowBandSize w:val="1"/>
      <w:tblStyleColBandSize w:val="1"/>
      <w:tblCellMar>
        <w:top w:w="0" w:type="dxa"/>
        <w:left w:w="30" w:type="dxa"/>
        <w:bottom w:w="0" w:type="dxa"/>
        <w:right w:w="30" w:type="dxa"/>
      </w:tblCellMar>
    </w:tblPr>
  </w:style>
  <w:style w:type="table" w:customStyle="1" w:styleId="a0">
    <w:basedOn w:val="TableNormal0"/>
    <w:pPr>
      <w:widowControl/>
    </w:pPr>
    <w:rPr>
      <w:color w:val="000000"/>
      <w:sz w:val="22"/>
      <w:szCs w:val="22"/>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widowControl/>
    </w:pPr>
    <w:rPr>
      <w:color w:val="000000"/>
      <w:sz w:val="22"/>
      <w:szCs w:val="22"/>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widowControl/>
    </w:pPr>
    <w:rPr>
      <w:color w:val="000000"/>
      <w:sz w:val="22"/>
      <w:szCs w:val="22"/>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0"/>
    <w:pPr>
      <w:widowControl/>
    </w:pPr>
    <w:rPr>
      <w:color w:val="000000"/>
      <w:sz w:val="22"/>
      <w:szCs w:val="22"/>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ceholderText">
    <w:name w:val="Placeholder Text"/>
    <w:basedOn w:val="DefaultParagraphFont"/>
    <w:uiPriority w:val="99"/>
    <w:semiHidden/>
    <w:rsid w:val="00DB42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2510">
      <w:bodyDiv w:val="1"/>
      <w:marLeft w:val="0"/>
      <w:marRight w:val="0"/>
      <w:marTop w:val="0"/>
      <w:marBottom w:val="0"/>
      <w:divBdr>
        <w:top w:val="none" w:sz="0" w:space="0" w:color="auto"/>
        <w:left w:val="none" w:sz="0" w:space="0" w:color="auto"/>
        <w:bottom w:val="none" w:sz="0" w:space="0" w:color="auto"/>
        <w:right w:val="none" w:sz="0" w:space="0" w:color="auto"/>
      </w:divBdr>
    </w:div>
    <w:div w:id="245766648">
      <w:bodyDiv w:val="1"/>
      <w:marLeft w:val="0"/>
      <w:marRight w:val="0"/>
      <w:marTop w:val="0"/>
      <w:marBottom w:val="0"/>
      <w:divBdr>
        <w:top w:val="none" w:sz="0" w:space="0" w:color="auto"/>
        <w:left w:val="none" w:sz="0" w:space="0" w:color="auto"/>
        <w:bottom w:val="none" w:sz="0" w:space="0" w:color="auto"/>
        <w:right w:val="none" w:sz="0" w:space="0" w:color="auto"/>
      </w:divBdr>
    </w:div>
    <w:div w:id="315380691">
      <w:bodyDiv w:val="1"/>
      <w:marLeft w:val="0"/>
      <w:marRight w:val="0"/>
      <w:marTop w:val="0"/>
      <w:marBottom w:val="0"/>
      <w:divBdr>
        <w:top w:val="none" w:sz="0" w:space="0" w:color="auto"/>
        <w:left w:val="none" w:sz="0" w:space="0" w:color="auto"/>
        <w:bottom w:val="none" w:sz="0" w:space="0" w:color="auto"/>
        <w:right w:val="none" w:sz="0" w:space="0" w:color="auto"/>
      </w:divBdr>
    </w:div>
    <w:div w:id="381486675">
      <w:bodyDiv w:val="1"/>
      <w:marLeft w:val="0"/>
      <w:marRight w:val="0"/>
      <w:marTop w:val="0"/>
      <w:marBottom w:val="0"/>
      <w:divBdr>
        <w:top w:val="none" w:sz="0" w:space="0" w:color="auto"/>
        <w:left w:val="none" w:sz="0" w:space="0" w:color="auto"/>
        <w:bottom w:val="none" w:sz="0" w:space="0" w:color="auto"/>
        <w:right w:val="none" w:sz="0" w:space="0" w:color="auto"/>
      </w:divBdr>
    </w:div>
    <w:div w:id="394663087">
      <w:bodyDiv w:val="1"/>
      <w:marLeft w:val="0"/>
      <w:marRight w:val="0"/>
      <w:marTop w:val="0"/>
      <w:marBottom w:val="0"/>
      <w:divBdr>
        <w:top w:val="none" w:sz="0" w:space="0" w:color="auto"/>
        <w:left w:val="none" w:sz="0" w:space="0" w:color="auto"/>
        <w:bottom w:val="none" w:sz="0" w:space="0" w:color="auto"/>
        <w:right w:val="none" w:sz="0" w:space="0" w:color="auto"/>
      </w:divBdr>
    </w:div>
    <w:div w:id="397092350">
      <w:bodyDiv w:val="1"/>
      <w:marLeft w:val="0"/>
      <w:marRight w:val="0"/>
      <w:marTop w:val="0"/>
      <w:marBottom w:val="0"/>
      <w:divBdr>
        <w:top w:val="none" w:sz="0" w:space="0" w:color="auto"/>
        <w:left w:val="none" w:sz="0" w:space="0" w:color="auto"/>
        <w:bottom w:val="none" w:sz="0" w:space="0" w:color="auto"/>
        <w:right w:val="none" w:sz="0" w:space="0" w:color="auto"/>
      </w:divBdr>
    </w:div>
    <w:div w:id="452015247">
      <w:bodyDiv w:val="1"/>
      <w:marLeft w:val="0"/>
      <w:marRight w:val="0"/>
      <w:marTop w:val="0"/>
      <w:marBottom w:val="0"/>
      <w:divBdr>
        <w:top w:val="none" w:sz="0" w:space="0" w:color="auto"/>
        <w:left w:val="none" w:sz="0" w:space="0" w:color="auto"/>
        <w:bottom w:val="none" w:sz="0" w:space="0" w:color="auto"/>
        <w:right w:val="none" w:sz="0" w:space="0" w:color="auto"/>
      </w:divBdr>
    </w:div>
    <w:div w:id="472908692">
      <w:bodyDiv w:val="1"/>
      <w:marLeft w:val="0"/>
      <w:marRight w:val="0"/>
      <w:marTop w:val="0"/>
      <w:marBottom w:val="0"/>
      <w:divBdr>
        <w:top w:val="none" w:sz="0" w:space="0" w:color="auto"/>
        <w:left w:val="none" w:sz="0" w:space="0" w:color="auto"/>
        <w:bottom w:val="none" w:sz="0" w:space="0" w:color="auto"/>
        <w:right w:val="none" w:sz="0" w:space="0" w:color="auto"/>
      </w:divBdr>
    </w:div>
    <w:div w:id="551118159">
      <w:bodyDiv w:val="1"/>
      <w:marLeft w:val="0"/>
      <w:marRight w:val="0"/>
      <w:marTop w:val="0"/>
      <w:marBottom w:val="0"/>
      <w:divBdr>
        <w:top w:val="none" w:sz="0" w:space="0" w:color="auto"/>
        <w:left w:val="none" w:sz="0" w:space="0" w:color="auto"/>
        <w:bottom w:val="none" w:sz="0" w:space="0" w:color="auto"/>
        <w:right w:val="none" w:sz="0" w:space="0" w:color="auto"/>
      </w:divBdr>
    </w:div>
    <w:div w:id="585767842">
      <w:bodyDiv w:val="1"/>
      <w:marLeft w:val="0"/>
      <w:marRight w:val="0"/>
      <w:marTop w:val="0"/>
      <w:marBottom w:val="0"/>
      <w:divBdr>
        <w:top w:val="none" w:sz="0" w:space="0" w:color="auto"/>
        <w:left w:val="none" w:sz="0" w:space="0" w:color="auto"/>
        <w:bottom w:val="none" w:sz="0" w:space="0" w:color="auto"/>
        <w:right w:val="none" w:sz="0" w:space="0" w:color="auto"/>
      </w:divBdr>
    </w:div>
    <w:div w:id="723724610">
      <w:bodyDiv w:val="1"/>
      <w:marLeft w:val="0"/>
      <w:marRight w:val="0"/>
      <w:marTop w:val="0"/>
      <w:marBottom w:val="0"/>
      <w:divBdr>
        <w:top w:val="none" w:sz="0" w:space="0" w:color="auto"/>
        <w:left w:val="none" w:sz="0" w:space="0" w:color="auto"/>
        <w:bottom w:val="none" w:sz="0" w:space="0" w:color="auto"/>
        <w:right w:val="none" w:sz="0" w:space="0" w:color="auto"/>
      </w:divBdr>
      <w:divsChild>
        <w:div w:id="113719772">
          <w:marLeft w:val="480"/>
          <w:marRight w:val="0"/>
          <w:marTop w:val="0"/>
          <w:marBottom w:val="0"/>
          <w:divBdr>
            <w:top w:val="none" w:sz="0" w:space="0" w:color="auto"/>
            <w:left w:val="none" w:sz="0" w:space="0" w:color="auto"/>
            <w:bottom w:val="none" w:sz="0" w:space="0" w:color="auto"/>
            <w:right w:val="none" w:sz="0" w:space="0" w:color="auto"/>
          </w:divBdr>
        </w:div>
        <w:div w:id="1336805679">
          <w:marLeft w:val="480"/>
          <w:marRight w:val="0"/>
          <w:marTop w:val="0"/>
          <w:marBottom w:val="0"/>
          <w:divBdr>
            <w:top w:val="none" w:sz="0" w:space="0" w:color="auto"/>
            <w:left w:val="none" w:sz="0" w:space="0" w:color="auto"/>
            <w:bottom w:val="none" w:sz="0" w:space="0" w:color="auto"/>
            <w:right w:val="none" w:sz="0" w:space="0" w:color="auto"/>
          </w:divBdr>
        </w:div>
        <w:div w:id="1348676835">
          <w:marLeft w:val="480"/>
          <w:marRight w:val="0"/>
          <w:marTop w:val="0"/>
          <w:marBottom w:val="0"/>
          <w:divBdr>
            <w:top w:val="none" w:sz="0" w:space="0" w:color="auto"/>
            <w:left w:val="none" w:sz="0" w:space="0" w:color="auto"/>
            <w:bottom w:val="none" w:sz="0" w:space="0" w:color="auto"/>
            <w:right w:val="none" w:sz="0" w:space="0" w:color="auto"/>
          </w:divBdr>
        </w:div>
        <w:div w:id="269893536">
          <w:marLeft w:val="480"/>
          <w:marRight w:val="0"/>
          <w:marTop w:val="0"/>
          <w:marBottom w:val="0"/>
          <w:divBdr>
            <w:top w:val="none" w:sz="0" w:space="0" w:color="auto"/>
            <w:left w:val="none" w:sz="0" w:space="0" w:color="auto"/>
            <w:bottom w:val="none" w:sz="0" w:space="0" w:color="auto"/>
            <w:right w:val="none" w:sz="0" w:space="0" w:color="auto"/>
          </w:divBdr>
        </w:div>
        <w:div w:id="1928687436">
          <w:marLeft w:val="480"/>
          <w:marRight w:val="0"/>
          <w:marTop w:val="0"/>
          <w:marBottom w:val="0"/>
          <w:divBdr>
            <w:top w:val="none" w:sz="0" w:space="0" w:color="auto"/>
            <w:left w:val="none" w:sz="0" w:space="0" w:color="auto"/>
            <w:bottom w:val="none" w:sz="0" w:space="0" w:color="auto"/>
            <w:right w:val="none" w:sz="0" w:space="0" w:color="auto"/>
          </w:divBdr>
        </w:div>
        <w:div w:id="1603032960">
          <w:marLeft w:val="480"/>
          <w:marRight w:val="0"/>
          <w:marTop w:val="0"/>
          <w:marBottom w:val="0"/>
          <w:divBdr>
            <w:top w:val="none" w:sz="0" w:space="0" w:color="auto"/>
            <w:left w:val="none" w:sz="0" w:space="0" w:color="auto"/>
            <w:bottom w:val="none" w:sz="0" w:space="0" w:color="auto"/>
            <w:right w:val="none" w:sz="0" w:space="0" w:color="auto"/>
          </w:divBdr>
        </w:div>
        <w:div w:id="2094811889">
          <w:marLeft w:val="480"/>
          <w:marRight w:val="0"/>
          <w:marTop w:val="0"/>
          <w:marBottom w:val="0"/>
          <w:divBdr>
            <w:top w:val="none" w:sz="0" w:space="0" w:color="auto"/>
            <w:left w:val="none" w:sz="0" w:space="0" w:color="auto"/>
            <w:bottom w:val="none" w:sz="0" w:space="0" w:color="auto"/>
            <w:right w:val="none" w:sz="0" w:space="0" w:color="auto"/>
          </w:divBdr>
        </w:div>
        <w:div w:id="215164464">
          <w:marLeft w:val="480"/>
          <w:marRight w:val="0"/>
          <w:marTop w:val="0"/>
          <w:marBottom w:val="0"/>
          <w:divBdr>
            <w:top w:val="none" w:sz="0" w:space="0" w:color="auto"/>
            <w:left w:val="none" w:sz="0" w:space="0" w:color="auto"/>
            <w:bottom w:val="none" w:sz="0" w:space="0" w:color="auto"/>
            <w:right w:val="none" w:sz="0" w:space="0" w:color="auto"/>
          </w:divBdr>
        </w:div>
        <w:div w:id="416488544">
          <w:marLeft w:val="480"/>
          <w:marRight w:val="0"/>
          <w:marTop w:val="0"/>
          <w:marBottom w:val="0"/>
          <w:divBdr>
            <w:top w:val="none" w:sz="0" w:space="0" w:color="auto"/>
            <w:left w:val="none" w:sz="0" w:space="0" w:color="auto"/>
            <w:bottom w:val="none" w:sz="0" w:space="0" w:color="auto"/>
            <w:right w:val="none" w:sz="0" w:space="0" w:color="auto"/>
          </w:divBdr>
        </w:div>
        <w:div w:id="843016541">
          <w:marLeft w:val="480"/>
          <w:marRight w:val="0"/>
          <w:marTop w:val="0"/>
          <w:marBottom w:val="0"/>
          <w:divBdr>
            <w:top w:val="none" w:sz="0" w:space="0" w:color="auto"/>
            <w:left w:val="none" w:sz="0" w:space="0" w:color="auto"/>
            <w:bottom w:val="none" w:sz="0" w:space="0" w:color="auto"/>
            <w:right w:val="none" w:sz="0" w:space="0" w:color="auto"/>
          </w:divBdr>
        </w:div>
        <w:div w:id="756943664">
          <w:marLeft w:val="480"/>
          <w:marRight w:val="0"/>
          <w:marTop w:val="0"/>
          <w:marBottom w:val="0"/>
          <w:divBdr>
            <w:top w:val="none" w:sz="0" w:space="0" w:color="auto"/>
            <w:left w:val="none" w:sz="0" w:space="0" w:color="auto"/>
            <w:bottom w:val="none" w:sz="0" w:space="0" w:color="auto"/>
            <w:right w:val="none" w:sz="0" w:space="0" w:color="auto"/>
          </w:divBdr>
        </w:div>
        <w:div w:id="986591193">
          <w:marLeft w:val="480"/>
          <w:marRight w:val="0"/>
          <w:marTop w:val="0"/>
          <w:marBottom w:val="0"/>
          <w:divBdr>
            <w:top w:val="none" w:sz="0" w:space="0" w:color="auto"/>
            <w:left w:val="none" w:sz="0" w:space="0" w:color="auto"/>
            <w:bottom w:val="none" w:sz="0" w:space="0" w:color="auto"/>
            <w:right w:val="none" w:sz="0" w:space="0" w:color="auto"/>
          </w:divBdr>
        </w:div>
        <w:div w:id="995839354">
          <w:marLeft w:val="480"/>
          <w:marRight w:val="0"/>
          <w:marTop w:val="0"/>
          <w:marBottom w:val="0"/>
          <w:divBdr>
            <w:top w:val="none" w:sz="0" w:space="0" w:color="auto"/>
            <w:left w:val="none" w:sz="0" w:space="0" w:color="auto"/>
            <w:bottom w:val="none" w:sz="0" w:space="0" w:color="auto"/>
            <w:right w:val="none" w:sz="0" w:space="0" w:color="auto"/>
          </w:divBdr>
        </w:div>
        <w:div w:id="1371302110">
          <w:marLeft w:val="480"/>
          <w:marRight w:val="0"/>
          <w:marTop w:val="0"/>
          <w:marBottom w:val="0"/>
          <w:divBdr>
            <w:top w:val="none" w:sz="0" w:space="0" w:color="auto"/>
            <w:left w:val="none" w:sz="0" w:space="0" w:color="auto"/>
            <w:bottom w:val="none" w:sz="0" w:space="0" w:color="auto"/>
            <w:right w:val="none" w:sz="0" w:space="0" w:color="auto"/>
          </w:divBdr>
        </w:div>
        <w:div w:id="753015660">
          <w:marLeft w:val="480"/>
          <w:marRight w:val="0"/>
          <w:marTop w:val="0"/>
          <w:marBottom w:val="0"/>
          <w:divBdr>
            <w:top w:val="none" w:sz="0" w:space="0" w:color="auto"/>
            <w:left w:val="none" w:sz="0" w:space="0" w:color="auto"/>
            <w:bottom w:val="none" w:sz="0" w:space="0" w:color="auto"/>
            <w:right w:val="none" w:sz="0" w:space="0" w:color="auto"/>
          </w:divBdr>
        </w:div>
        <w:div w:id="2085954992">
          <w:marLeft w:val="480"/>
          <w:marRight w:val="0"/>
          <w:marTop w:val="0"/>
          <w:marBottom w:val="0"/>
          <w:divBdr>
            <w:top w:val="none" w:sz="0" w:space="0" w:color="auto"/>
            <w:left w:val="none" w:sz="0" w:space="0" w:color="auto"/>
            <w:bottom w:val="none" w:sz="0" w:space="0" w:color="auto"/>
            <w:right w:val="none" w:sz="0" w:space="0" w:color="auto"/>
          </w:divBdr>
        </w:div>
        <w:div w:id="1960791520">
          <w:marLeft w:val="480"/>
          <w:marRight w:val="0"/>
          <w:marTop w:val="0"/>
          <w:marBottom w:val="0"/>
          <w:divBdr>
            <w:top w:val="none" w:sz="0" w:space="0" w:color="auto"/>
            <w:left w:val="none" w:sz="0" w:space="0" w:color="auto"/>
            <w:bottom w:val="none" w:sz="0" w:space="0" w:color="auto"/>
            <w:right w:val="none" w:sz="0" w:space="0" w:color="auto"/>
          </w:divBdr>
        </w:div>
        <w:div w:id="684676298">
          <w:marLeft w:val="480"/>
          <w:marRight w:val="0"/>
          <w:marTop w:val="0"/>
          <w:marBottom w:val="0"/>
          <w:divBdr>
            <w:top w:val="none" w:sz="0" w:space="0" w:color="auto"/>
            <w:left w:val="none" w:sz="0" w:space="0" w:color="auto"/>
            <w:bottom w:val="none" w:sz="0" w:space="0" w:color="auto"/>
            <w:right w:val="none" w:sz="0" w:space="0" w:color="auto"/>
          </w:divBdr>
        </w:div>
        <w:div w:id="1940481421">
          <w:marLeft w:val="480"/>
          <w:marRight w:val="0"/>
          <w:marTop w:val="0"/>
          <w:marBottom w:val="0"/>
          <w:divBdr>
            <w:top w:val="none" w:sz="0" w:space="0" w:color="auto"/>
            <w:left w:val="none" w:sz="0" w:space="0" w:color="auto"/>
            <w:bottom w:val="none" w:sz="0" w:space="0" w:color="auto"/>
            <w:right w:val="none" w:sz="0" w:space="0" w:color="auto"/>
          </w:divBdr>
        </w:div>
        <w:div w:id="180554286">
          <w:marLeft w:val="480"/>
          <w:marRight w:val="0"/>
          <w:marTop w:val="0"/>
          <w:marBottom w:val="0"/>
          <w:divBdr>
            <w:top w:val="none" w:sz="0" w:space="0" w:color="auto"/>
            <w:left w:val="none" w:sz="0" w:space="0" w:color="auto"/>
            <w:bottom w:val="none" w:sz="0" w:space="0" w:color="auto"/>
            <w:right w:val="none" w:sz="0" w:space="0" w:color="auto"/>
          </w:divBdr>
        </w:div>
        <w:div w:id="26763383">
          <w:marLeft w:val="480"/>
          <w:marRight w:val="0"/>
          <w:marTop w:val="0"/>
          <w:marBottom w:val="0"/>
          <w:divBdr>
            <w:top w:val="none" w:sz="0" w:space="0" w:color="auto"/>
            <w:left w:val="none" w:sz="0" w:space="0" w:color="auto"/>
            <w:bottom w:val="none" w:sz="0" w:space="0" w:color="auto"/>
            <w:right w:val="none" w:sz="0" w:space="0" w:color="auto"/>
          </w:divBdr>
        </w:div>
        <w:div w:id="1630479634">
          <w:marLeft w:val="480"/>
          <w:marRight w:val="0"/>
          <w:marTop w:val="0"/>
          <w:marBottom w:val="0"/>
          <w:divBdr>
            <w:top w:val="none" w:sz="0" w:space="0" w:color="auto"/>
            <w:left w:val="none" w:sz="0" w:space="0" w:color="auto"/>
            <w:bottom w:val="none" w:sz="0" w:space="0" w:color="auto"/>
            <w:right w:val="none" w:sz="0" w:space="0" w:color="auto"/>
          </w:divBdr>
        </w:div>
        <w:div w:id="927152856">
          <w:marLeft w:val="480"/>
          <w:marRight w:val="0"/>
          <w:marTop w:val="0"/>
          <w:marBottom w:val="0"/>
          <w:divBdr>
            <w:top w:val="none" w:sz="0" w:space="0" w:color="auto"/>
            <w:left w:val="none" w:sz="0" w:space="0" w:color="auto"/>
            <w:bottom w:val="none" w:sz="0" w:space="0" w:color="auto"/>
            <w:right w:val="none" w:sz="0" w:space="0" w:color="auto"/>
          </w:divBdr>
        </w:div>
        <w:div w:id="202836944">
          <w:marLeft w:val="480"/>
          <w:marRight w:val="0"/>
          <w:marTop w:val="0"/>
          <w:marBottom w:val="0"/>
          <w:divBdr>
            <w:top w:val="none" w:sz="0" w:space="0" w:color="auto"/>
            <w:left w:val="none" w:sz="0" w:space="0" w:color="auto"/>
            <w:bottom w:val="none" w:sz="0" w:space="0" w:color="auto"/>
            <w:right w:val="none" w:sz="0" w:space="0" w:color="auto"/>
          </w:divBdr>
        </w:div>
        <w:div w:id="810513691">
          <w:marLeft w:val="480"/>
          <w:marRight w:val="0"/>
          <w:marTop w:val="0"/>
          <w:marBottom w:val="0"/>
          <w:divBdr>
            <w:top w:val="none" w:sz="0" w:space="0" w:color="auto"/>
            <w:left w:val="none" w:sz="0" w:space="0" w:color="auto"/>
            <w:bottom w:val="none" w:sz="0" w:space="0" w:color="auto"/>
            <w:right w:val="none" w:sz="0" w:space="0" w:color="auto"/>
          </w:divBdr>
        </w:div>
        <w:div w:id="955405610">
          <w:marLeft w:val="480"/>
          <w:marRight w:val="0"/>
          <w:marTop w:val="0"/>
          <w:marBottom w:val="0"/>
          <w:divBdr>
            <w:top w:val="none" w:sz="0" w:space="0" w:color="auto"/>
            <w:left w:val="none" w:sz="0" w:space="0" w:color="auto"/>
            <w:bottom w:val="none" w:sz="0" w:space="0" w:color="auto"/>
            <w:right w:val="none" w:sz="0" w:space="0" w:color="auto"/>
          </w:divBdr>
        </w:div>
        <w:div w:id="1598975874">
          <w:marLeft w:val="480"/>
          <w:marRight w:val="0"/>
          <w:marTop w:val="0"/>
          <w:marBottom w:val="0"/>
          <w:divBdr>
            <w:top w:val="none" w:sz="0" w:space="0" w:color="auto"/>
            <w:left w:val="none" w:sz="0" w:space="0" w:color="auto"/>
            <w:bottom w:val="none" w:sz="0" w:space="0" w:color="auto"/>
            <w:right w:val="none" w:sz="0" w:space="0" w:color="auto"/>
          </w:divBdr>
        </w:div>
        <w:div w:id="1739479873">
          <w:marLeft w:val="480"/>
          <w:marRight w:val="0"/>
          <w:marTop w:val="0"/>
          <w:marBottom w:val="0"/>
          <w:divBdr>
            <w:top w:val="none" w:sz="0" w:space="0" w:color="auto"/>
            <w:left w:val="none" w:sz="0" w:space="0" w:color="auto"/>
            <w:bottom w:val="none" w:sz="0" w:space="0" w:color="auto"/>
            <w:right w:val="none" w:sz="0" w:space="0" w:color="auto"/>
          </w:divBdr>
        </w:div>
        <w:div w:id="1707560354">
          <w:marLeft w:val="480"/>
          <w:marRight w:val="0"/>
          <w:marTop w:val="0"/>
          <w:marBottom w:val="0"/>
          <w:divBdr>
            <w:top w:val="none" w:sz="0" w:space="0" w:color="auto"/>
            <w:left w:val="none" w:sz="0" w:space="0" w:color="auto"/>
            <w:bottom w:val="none" w:sz="0" w:space="0" w:color="auto"/>
            <w:right w:val="none" w:sz="0" w:space="0" w:color="auto"/>
          </w:divBdr>
        </w:div>
        <w:div w:id="1696230198">
          <w:marLeft w:val="480"/>
          <w:marRight w:val="0"/>
          <w:marTop w:val="0"/>
          <w:marBottom w:val="0"/>
          <w:divBdr>
            <w:top w:val="none" w:sz="0" w:space="0" w:color="auto"/>
            <w:left w:val="none" w:sz="0" w:space="0" w:color="auto"/>
            <w:bottom w:val="none" w:sz="0" w:space="0" w:color="auto"/>
            <w:right w:val="none" w:sz="0" w:space="0" w:color="auto"/>
          </w:divBdr>
        </w:div>
        <w:div w:id="500700441">
          <w:marLeft w:val="480"/>
          <w:marRight w:val="0"/>
          <w:marTop w:val="0"/>
          <w:marBottom w:val="0"/>
          <w:divBdr>
            <w:top w:val="none" w:sz="0" w:space="0" w:color="auto"/>
            <w:left w:val="none" w:sz="0" w:space="0" w:color="auto"/>
            <w:bottom w:val="none" w:sz="0" w:space="0" w:color="auto"/>
            <w:right w:val="none" w:sz="0" w:space="0" w:color="auto"/>
          </w:divBdr>
        </w:div>
        <w:div w:id="1728066433">
          <w:marLeft w:val="480"/>
          <w:marRight w:val="0"/>
          <w:marTop w:val="0"/>
          <w:marBottom w:val="0"/>
          <w:divBdr>
            <w:top w:val="none" w:sz="0" w:space="0" w:color="auto"/>
            <w:left w:val="none" w:sz="0" w:space="0" w:color="auto"/>
            <w:bottom w:val="none" w:sz="0" w:space="0" w:color="auto"/>
            <w:right w:val="none" w:sz="0" w:space="0" w:color="auto"/>
          </w:divBdr>
        </w:div>
        <w:div w:id="1655717594">
          <w:marLeft w:val="480"/>
          <w:marRight w:val="0"/>
          <w:marTop w:val="0"/>
          <w:marBottom w:val="0"/>
          <w:divBdr>
            <w:top w:val="none" w:sz="0" w:space="0" w:color="auto"/>
            <w:left w:val="none" w:sz="0" w:space="0" w:color="auto"/>
            <w:bottom w:val="none" w:sz="0" w:space="0" w:color="auto"/>
            <w:right w:val="none" w:sz="0" w:space="0" w:color="auto"/>
          </w:divBdr>
        </w:div>
        <w:div w:id="1155687644">
          <w:marLeft w:val="480"/>
          <w:marRight w:val="0"/>
          <w:marTop w:val="0"/>
          <w:marBottom w:val="0"/>
          <w:divBdr>
            <w:top w:val="none" w:sz="0" w:space="0" w:color="auto"/>
            <w:left w:val="none" w:sz="0" w:space="0" w:color="auto"/>
            <w:bottom w:val="none" w:sz="0" w:space="0" w:color="auto"/>
            <w:right w:val="none" w:sz="0" w:space="0" w:color="auto"/>
          </w:divBdr>
        </w:div>
        <w:div w:id="1877310054">
          <w:marLeft w:val="480"/>
          <w:marRight w:val="0"/>
          <w:marTop w:val="0"/>
          <w:marBottom w:val="0"/>
          <w:divBdr>
            <w:top w:val="none" w:sz="0" w:space="0" w:color="auto"/>
            <w:left w:val="none" w:sz="0" w:space="0" w:color="auto"/>
            <w:bottom w:val="none" w:sz="0" w:space="0" w:color="auto"/>
            <w:right w:val="none" w:sz="0" w:space="0" w:color="auto"/>
          </w:divBdr>
        </w:div>
        <w:div w:id="1006178123">
          <w:marLeft w:val="480"/>
          <w:marRight w:val="0"/>
          <w:marTop w:val="0"/>
          <w:marBottom w:val="0"/>
          <w:divBdr>
            <w:top w:val="none" w:sz="0" w:space="0" w:color="auto"/>
            <w:left w:val="none" w:sz="0" w:space="0" w:color="auto"/>
            <w:bottom w:val="none" w:sz="0" w:space="0" w:color="auto"/>
            <w:right w:val="none" w:sz="0" w:space="0" w:color="auto"/>
          </w:divBdr>
        </w:div>
        <w:div w:id="1130246707">
          <w:marLeft w:val="480"/>
          <w:marRight w:val="0"/>
          <w:marTop w:val="0"/>
          <w:marBottom w:val="0"/>
          <w:divBdr>
            <w:top w:val="none" w:sz="0" w:space="0" w:color="auto"/>
            <w:left w:val="none" w:sz="0" w:space="0" w:color="auto"/>
            <w:bottom w:val="none" w:sz="0" w:space="0" w:color="auto"/>
            <w:right w:val="none" w:sz="0" w:space="0" w:color="auto"/>
          </w:divBdr>
        </w:div>
        <w:div w:id="1525904753">
          <w:marLeft w:val="480"/>
          <w:marRight w:val="0"/>
          <w:marTop w:val="0"/>
          <w:marBottom w:val="0"/>
          <w:divBdr>
            <w:top w:val="none" w:sz="0" w:space="0" w:color="auto"/>
            <w:left w:val="none" w:sz="0" w:space="0" w:color="auto"/>
            <w:bottom w:val="none" w:sz="0" w:space="0" w:color="auto"/>
            <w:right w:val="none" w:sz="0" w:space="0" w:color="auto"/>
          </w:divBdr>
        </w:div>
        <w:div w:id="537472022">
          <w:marLeft w:val="480"/>
          <w:marRight w:val="0"/>
          <w:marTop w:val="0"/>
          <w:marBottom w:val="0"/>
          <w:divBdr>
            <w:top w:val="none" w:sz="0" w:space="0" w:color="auto"/>
            <w:left w:val="none" w:sz="0" w:space="0" w:color="auto"/>
            <w:bottom w:val="none" w:sz="0" w:space="0" w:color="auto"/>
            <w:right w:val="none" w:sz="0" w:space="0" w:color="auto"/>
          </w:divBdr>
        </w:div>
        <w:div w:id="1378698891">
          <w:marLeft w:val="480"/>
          <w:marRight w:val="0"/>
          <w:marTop w:val="0"/>
          <w:marBottom w:val="0"/>
          <w:divBdr>
            <w:top w:val="none" w:sz="0" w:space="0" w:color="auto"/>
            <w:left w:val="none" w:sz="0" w:space="0" w:color="auto"/>
            <w:bottom w:val="none" w:sz="0" w:space="0" w:color="auto"/>
            <w:right w:val="none" w:sz="0" w:space="0" w:color="auto"/>
          </w:divBdr>
        </w:div>
        <w:div w:id="1572305352">
          <w:marLeft w:val="480"/>
          <w:marRight w:val="0"/>
          <w:marTop w:val="0"/>
          <w:marBottom w:val="0"/>
          <w:divBdr>
            <w:top w:val="none" w:sz="0" w:space="0" w:color="auto"/>
            <w:left w:val="none" w:sz="0" w:space="0" w:color="auto"/>
            <w:bottom w:val="none" w:sz="0" w:space="0" w:color="auto"/>
            <w:right w:val="none" w:sz="0" w:space="0" w:color="auto"/>
          </w:divBdr>
        </w:div>
        <w:div w:id="412625187">
          <w:marLeft w:val="480"/>
          <w:marRight w:val="0"/>
          <w:marTop w:val="0"/>
          <w:marBottom w:val="0"/>
          <w:divBdr>
            <w:top w:val="none" w:sz="0" w:space="0" w:color="auto"/>
            <w:left w:val="none" w:sz="0" w:space="0" w:color="auto"/>
            <w:bottom w:val="none" w:sz="0" w:space="0" w:color="auto"/>
            <w:right w:val="none" w:sz="0" w:space="0" w:color="auto"/>
          </w:divBdr>
        </w:div>
        <w:div w:id="1018657909">
          <w:marLeft w:val="480"/>
          <w:marRight w:val="0"/>
          <w:marTop w:val="0"/>
          <w:marBottom w:val="0"/>
          <w:divBdr>
            <w:top w:val="none" w:sz="0" w:space="0" w:color="auto"/>
            <w:left w:val="none" w:sz="0" w:space="0" w:color="auto"/>
            <w:bottom w:val="none" w:sz="0" w:space="0" w:color="auto"/>
            <w:right w:val="none" w:sz="0" w:space="0" w:color="auto"/>
          </w:divBdr>
        </w:div>
        <w:div w:id="826240362">
          <w:marLeft w:val="480"/>
          <w:marRight w:val="0"/>
          <w:marTop w:val="0"/>
          <w:marBottom w:val="0"/>
          <w:divBdr>
            <w:top w:val="none" w:sz="0" w:space="0" w:color="auto"/>
            <w:left w:val="none" w:sz="0" w:space="0" w:color="auto"/>
            <w:bottom w:val="none" w:sz="0" w:space="0" w:color="auto"/>
            <w:right w:val="none" w:sz="0" w:space="0" w:color="auto"/>
          </w:divBdr>
        </w:div>
        <w:div w:id="514000023">
          <w:marLeft w:val="480"/>
          <w:marRight w:val="0"/>
          <w:marTop w:val="0"/>
          <w:marBottom w:val="0"/>
          <w:divBdr>
            <w:top w:val="none" w:sz="0" w:space="0" w:color="auto"/>
            <w:left w:val="none" w:sz="0" w:space="0" w:color="auto"/>
            <w:bottom w:val="none" w:sz="0" w:space="0" w:color="auto"/>
            <w:right w:val="none" w:sz="0" w:space="0" w:color="auto"/>
          </w:divBdr>
        </w:div>
      </w:divsChild>
    </w:div>
    <w:div w:id="738215453">
      <w:bodyDiv w:val="1"/>
      <w:marLeft w:val="0"/>
      <w:marRight w:val="0"/>
      <w:marTop w:val="0"/>
      <w:marBottom w:val="0"/>
      <w:divBdr>
        <w:top w:val="none" w:sz="0" w:space="0" w:color="auto"/>
        <w:left w:val="none" w:sz="0" w:space="0" w:color="auto"/>
        <w:bottom w:val="none" w:sz="0" w:space="0" w:color="auto"/>
        <w:right w:val="none" w:sz="0" w:space="0" w:color="auto"/>
      </w:divBdr>
    </w:div>
    <w:div w:id="776414186">
      <w:bodyDiv w:val="1"/>
      <w:marLeft w:val="0"/>
      <w:marRight w:val="0"/>
      <w:marTop w:val="0"/>
      <w:marBottom w:val="0"/>
      <w:divBdr>
        <w:top w:val="none" w:sz="0" w:space="0" w:color="auto"/>
        <w:left w:val="none" w:sz="0" w:space="0" w:color="auto"/>
        <w:bottom w:val="none" w:sz="0" w:space="0" w:color="auto"/>
        <w:right w:val="none" w:sz="0" w:space="0" w:color="auto"/>
      </w:divBdr>
    </w:div>
    <w:div w:id="864904228">
      <w:bodyDiv w:val="1"/>
      <w:marLeft w:val="0"/>
      <w:marRight w:val="0"/>
      <w:marTop w:val="0"/>
      <w:marBottom w:val="0"/>
      <w:divBdr>
        <w:top w:val="none" w:sz="0" w:space="0" w:color="auto"/>
        <w:left w:val="none" w:sz="0" w:space="0" w:color="auto"/>
        <w:bottom w:val="none" w:sz="0" w:space="0" w:color="auto"/>
        <w:right w:val="none" w:sz="0" w:space="0" w:color="auto"/>
      </w:divBdr>
      <w:divsChild>
        <w:div w:id="430705880">
          <w:marLeft w:val="480"/>
          <w:marRight w:val="0"/>
          <w:marTop w:val="0"/>
          <w:marBottom w:val="0"/>
          <w:divBdr>
            <w:top w:val="none" w:sz="0" w:space="0" w:color="auto"/>
            <w:left w:val="none" w:sz="0" w:space="0" w:color="auto"/>
            <w:bottom w:val="none" w:sz="0" w:space="0" w:color="auto"/>
            <w:right w:val="none" w:sz="0" w:space="0" w:color="auto"/>
          </w:divBdr>
        </w:div>
      </w:divsChild>
    </w:div>
    <w:div w:id="910848471">
      <w:bodyDiv w:val="1"/>
      <w:marLeft w:val="0"/>
      <w:marRight w:val="0"/>
      <w:marTop w:val="0"/>
      <w:marBottom w:val="0"/>
      <w:divBdr>
        <w:top w:val="none" w:sz="0" w:space="0" w:color="auto"/>
        <w:left w:val="none" w:sz="0" w:space="0" w:color="auto"/>
        <w:bottom w:val="none" w:sz="0" w:space="0" w:color="auto"/>
        <w:right w:val="none" w:sz="0" w:space="0" w:color="auto"/>
      </w:divBdr>
    </w:div>
    <w:div w:id="998923115">
      <w:bodyDiv w:val="1"/>
      <w:marLeft w:val="0"/>
      <w:marRight w:val="0"/>
      <w:marTop w:val="0"/>
      <w:marBottom w:val="0"/>
      <w:divBdr>
        <w:top w:val="none" w:sz="0" w:space="0" w:color="auto"/>
        <w:left w:val="none" w:sz="0" w:space="0" w:color="auto"/>
        <w:bottom w:val="none" w:sz="0" w:space="0" w:color="auto"/>
        <w:right w:val="none" w:sz="0" w:space="0" w:color="auto"/>
      </w:divBdr>
    </w:div>
    <w:div w:id="1013386744">
      <w:bodyDiv w:val="1"/>
      <w:marLeft w:val="0"/>
      <w:marRight w:val="0"/>
      <w:marTop w:val="0"/>
      <w:marBottom w:val="0"/>
      <w:divBdr>
        <w:top w:val="none" w:sz="0" w:space="0" w:color="auto"/>
        <w:left w:val="none" w:sz="0" w:space="0" w:color="auto"/>
        <w:bottom w:val="none" w:sz="0" w:space="0" w:color="auto"/>
        <w:right w:val="none" w:sz="0" w:space="0" w:color="auto"/>
      </w:divBdr>
    </w:div>
    <w:div w:id="1041784801">
      <w:bodyDiv w:val="1"/>
      <w:marLeft w:val="0"/>
      <w:marRight w:val="0"/>
      <w:marTop w:val="0"/>
      <w:marBottom w:val="0"/>
      <w:divBdr>
        <w:top w:val="none" w:sz="0" w:space="0" w:color="auto"/>
        <w:left w:val="none" w:sz="0" w:space="0" w:color="auto"/>
        <w:bottom w:val="none" w:sz="0" w:space="0" w:color="auto"/>
        <w:right w:val="none" w:sz="0" w:space="0" w:color="auto"/>
      </w:divBdr>
    </w:div>
    <w:div w:id="1072895699">
      <w:bodyDiv w:val="1"/>
      <w:marLeft w:val="0"/>
      <w:marRight w:val="0"/>
      <w:marTop w:val="0"/>
      <w:marBottom w:val="0"/>
      <w:divBdr>
        <w:top w:val="none" w:sz="0" w:space="0" w:color="auto"/>
        <w:left w:val="none" w:sz="0" w:space="0" w:color="auto"/>
        <w:bottom w:val="none" w:sz="0" w:space="0" w:color="auto"/>
        <w:right w:val="none" w:sz="0" w:space="0" w:color="auto"/>
      </w:divBdr>
    </w:div>
    <w:div w:id="1152941617">
      <w:bodyDiv w:val="1"/>
      <w:marLeft w:val="0"/>
      <w:marRight w:val="0"/>
      <w:marTop w:val="0"/>
      <w:marBottom w:val="0"/>
      <w:divBdr>
        <w:top w:val="none" w:sz="0" w:space="0" w:color="auto"/>
        <w:left w:val="none" w:sz="0" w:space="0" w:color="auto"/>
        <w:bottom w:val="none" w:sz="0" w:space="0" w:color="auto"/>
        <w:right w:val="none" w:sz="0" w:space="0" w:color="auto"/>
      </w:divBdr>
    </w:div>
    <w:div w:id="1367566417">
      <w:bodyDiv w:val="1"/>
      <w:marLeft w:val="0"/>
      <w:marRight w:val="0"/>
      <w:marTop w:val="0"/>
      <w:marBottom w:val="0"/>
      <w:divBdr>
        <w:top w:val="none" w:sz="0" w:space="0" w:color="auto"/>
        <w:left w:val="none" w:sz="0" w:space="0" w:color="auto"/>
        <w:bottom w:val="none" w:sz="0" w:space="0" w:color="auto"/>
        <w:right w:val="none" w:sz="0" w:space="0" w:color="auto"/>
      </w:divBdr>
    </w:div>
    <w:div w:id="1547403212">
      <w:bodyDiv w:val="1"/>
      <w:marLeft w:val="0"/>
      <w:marRight w:val="0"/>
      <w:marTop w:val="0"/>
      <w:marBottom w:val="0"/>
      <w:divBdr>
        <w:top w:val="none" w:sz="0" w:space="0" w:color="auto"/>
        <w:left w:val="none" w:sz="0" w:space="0" w:color="auto"/>
        <w:bottom w:val="none" w:sz="0" w:space="0" w:color="auto"/>
        <w:right w:val="none" w:sz="0" w:space="0" w:color="auto"/>
      </w:divBdr>
    </w:div>
    <w:div w:id="1581061136">
      <w:bodyDiv w:val="1"/>
      <w:marLeft w:val="0"/>
      <w:marRight w:val="0"/>
      <w:marTop w:val="0"/>
      <w:marBottom w:val="0"/>
      <w:divBdr>
        <w:top w:val="none" w:sz="0" w:space="0" w:color="auto"/>
        <w:left w:val="none" w:sz="0" w:space="0" w:color="auto"/>
        <w:bottom w:val="none" w:sz="0" w:space="0" w:color="auto"/>
        <w:right w:val="none" w:sz="0" w:space="0" w:color="auto"/>
      </w:divBdr>
    </w:div>
    <w:div w:id="1618633117">
      <w:bodyDiv w:val="1"/>
      <w:marLeft w:val="0"/>
      <w:marRight w:val="0"/>
      <w:marTop w:val="0"/>
      <w:marBottom w:val="0"/>
      <w:divBdr>
        <w:top w:val="none" w:sz="0" w:space="0" w:color="auto"/>
        <w:left w:val="none" w:sz="0" w:space="0" w:color="auto"/>
        <w:bottom w:val="none" w:sz="0" w:space="0" w:color="auto"/>
        <w:right w:val="none" w:sz="0" w:space="0" w:color="auto"/>
      </w:divBdr>
    </w:div>
    <w:div w:id="1647932147">
      <w:bodyDiv w:val="1"/>
      <w:marLeft w:val="0"/>
      <w:marRight w:val="0"/>
      <w:marTop w:val="0"/>
      <w:marBottom w:val="0"/>
      <w:divBdr>
        <w:top w:val="none" w:sz="0" w:space="0" w:color="auto"/>
        <w:left w:val="none" w:sz="0" w:space="0" w:color="auto"/>
        <w:bottom w:val="none" w:sz="0" w:space="0" w:color="auto"/>
        <w:right w:val="none" w:sz="0" w:space="0" w:color="auto"/>
      </w:divBdr>
    </w:div>
    <w:div w:id="1675914331">
      <w:bodyDiv w:val="1"/>
      <w:marLeft w:val="0"/>
      <w:marRight w:val="0"/>
      <w:marTop w:val="0"/>
      <w:marBottom w:val="0"/>
      <w:divBdr>
        <w:top w:val="none" w:sz="0" w:space="0" w:color="auto"/>
        <w:left w:val="none" w:sz="0" w:space="0" w:color="auto"/>
        <w:bottom w:val="none" w:sz="0" w:space="0" w:color="auto"/>
        <w:right w:val="none" w:sz="0" w:space="0" w:color="auto"/>
      </w:divBdr>
    </w:div>
    <w:div w:id="1761632370">
      <w:bodyDiv w:val="1"/>
      <w:marLeft w:val="0"/>
      <w:marRight w:val="0"/>
      <w:marTop w:val="0"/>
      <w:marBottom w:val="0"/>
      <w:divBdr>
        <w:top w:val="none" w:sz="0" w:space="0" w:color="auto"/>
        <w:left w:val="none" w:sz="0" w:space="0" w:color="auto"/>
        <w:bottom w:val="none" w:sz="0" w:space="0" w:color="auto"/>
        <w:right w:val="none" w:sz="0" w:space="0" w:color="auto"/>
      </w:divBdr>
    </w:div>
    <w:div w:id="1787969735">
      <w:bodyDiv w:val="1"/>
      <w:marLeft w:val="0"/>
      <w:marRight w:val="0"/>
      <w:marTop w:val="0"/>
      <w:marBottom w:val="0"/>
      <w:divBdr>
        <w:top w:val="none" w:sz="0" w:space="0" w:color="auto"/>
        <w:left w:val="none" w:sz="0" w:space="0" w:color="auto"/>
        <w:bottom w:val="none" w:sz="0" w:space="0" w:color="auto"/>
        <w:right w:val="none" w:sz="0" w:space="0" w:color="auto"/>
      </w:divBdr>
    </w:div>
    <w:div w:id="1794403686">
      <w:bodyDiv w:val="1"/>
      <w:marLeft w:val="0"/>
      <w:marRight w:val="0"/>
      <w:marTop w:val="0"/>
      <w:marBottom w:val="0"/>
      <w:divBdr>
        <w:top w:val="none" w:sz="0" w:space="0" w:color="auto"/>
        <w:left w:val="none" w:sz="0" w:space="0" w:color="auto"/>
        <w:bottom w:val="none" w:sz="0" w:space="0" w:color="auto"/>
        <w:right w:val="none" w:sz="0" w:space="0" w:color="auto"/>
      </w:divBdr>
    </w:div>
    <w:div w:id="1856071384">
      <w:bodyDiv w:val="1"/>
      <w:marLeft w:val="0"/>
      <w:marRight w:val="0"/>
      <w:marTop w:val="0"/>
      <w:marBottom w:val="0"/>
      <w:divBdr>
        <w:top w:val="none" w:sz="0" w:space="0" w:color="auto"/>
        <w:left w:val="none" w:sz="0" w:space="0" w:color="auto"/>
        <w:bottom w:val="none" w:sz="0" w:space="0" w:color="auto"/>
        <w:right w:val="none" w:sz="0" w:space="0" w:color="auto"/>
      </w:divBdr>
    </w:div>
    <w:div w:id="1859268838">
      <w:bodyDiv w:val="1"/>
      <w:marLeft w:val="0"/>
      <w:marRight w:val="0"/>
      <w:marTop w:val="0"/>
      <w:marBottom w:val="0"/>
      <w:divBdr>
        <w:top w:val="none" w:sz="0" w:space="0" w:color="auto"/>
        <w:left w:val="none" w:sz="0" w:space="0" w:color="auto"/>
        <w:bottom w:val="none" w:sz="0" w:space="0" w:color="auto"/>
        <w:right w:val="none" w:sz="0" w:space="0" w:color="auto"/>
      </w:divBdr>
    </w:div>
    <w:div w:id="2009822243">
      <w:bodyDiv w:val="1"/>
      <w:marLeft w:val="0"/>
      <w:marRight w:val="0"/>
      <w:marTop w:val="0"/>
      <w:marBottom w:val="0"/>
      <w:divBdr>
        <w:top w:val="none" w:sz="0" w:space="0" w:color="auto"/>
        <w:left w:val="none" w:sz="0" w:space="0" w:color="auto"/>
        <w:bottom w:val="none" w:sz="0" w:space="0" w:color="auto"/>
        <w:right w:val="none" w:sz="0" w:space="0" w:color="auto"/>
      </w:divBdr>
    </w:div>
    <w:div w:id="2020540678">
      <w:bodyDiv w:val="1"/>
      <w:marLeft w:val="0"/>
      <w:marRight w:val="0"/>
      <w:marTop w:val="0"/>
      <w:marBottom w:val="0"/>
      <w:divBdr>
        <w:top w:val="none" w:sz="0" w:space="0" w:color="auto"/>
        <w:left w:val="none" w:sz="0" w:space="0" w:color="auto"/>
        <w:bottom w:val="none" w:sz="0" w:space="0" w:color="auto"/>
        <w:right w:val="none" w:sz="0" w:space="0" w:color="auto"/>
      </w:divBdr>
    </w:div>
    <w:div w:id="2033914746">
      <w:bodyDiv w:val="1"/>
      <w:marLeft w:val="0"/>
      <w:marRight w:val="0"/>
      <w:marTop w:val="0"/>
      <w:marBottom w:val="0"/>
      <w:divBdr>
        <w:top w:val="none" w:sz="0" w:space="0" w:color="auto"/>
        <w:left w:val="none" w:sz="0" w:space="0" w:color="auto"/>
        <w:bottom w:val="none" w:sz="0" w:space="0" w:color="auto"/>
        <w:right w:val="none" w:sz="0" w:space="0" w:color="auto"/>
      </w:divBdr>
    </w:div>
    <w:div w:id="2099592176">
      <w:bodyDiv w:val="1"/>
      <w:marLeft w:val="0"/>
      <w:marRight w:val="0"/>
      <w:marTop w:val="0"/>
      <w:marBottom w:val="0"/>
      <w:divBdr>
        <w:top w:val="none" w:sz="0" w:space="0" w:color="auto"/>
        <w:left w:val="none" w:sz="0" w:space="0" w:color="auto"/>
        <w:bottom w:val="none" w:sz="0" w:space="0" w:color="auto"/>
        <w:right w:val="none" w:sz="0" w:space="0" w:color="auto"/>
      </w:divBdr>
    </w:div>
    <w:div w:id="2122606011">
      <w:bodyDiv w:val="1"/>
      <w:marLeft w:val="0"/>
      <w:marRight w:val="0"/>
      <w:marTop w:val="0"/>
      <w:marBottom w:val="0"/>
      <w:divBdr>
        <w:top w:val="none" w:sz="0" w:space="0" w:color="auto"/>
        <w:left w:val="none" w:sz="0" w:space="0" w:color="auto"/>
        <w:bottom w:val="none" w:sz="0" w:space="0" w:color="auto"/>
        <w:right w:val="none" w:sz="0" w:space="0" w:color="auto"/>
      </w:divBdr>
    </w:div>
    <w:div w:id="2138528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milasusanti@unai.edu"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12332049@unai.ed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3marthin_smile@unai.edu"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F7DCCB6-AC1B-49A9-9DE1-3E0FE08DAE79}"/>
      </w:docPartPr>
      <w:docPartBody>
        <w:p w:rsidR="00A854AC" w:rsidRDefault="00C64F32">
          <w:r w:rsidRPr="00AE4E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Quintessential">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F32"/>
    <w:rsid w:val="002B5850"/>
    <w:rsid w:val="00717B6C"/>
    <w:rsid w:val="00A854AC"/>
    <w:rsid w:val="00C64F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F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9ACFB2-3568-4C08-9F6D-3AA5031D405F}">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6056555738"/>
    <we:property name="MENDELEY_CITATIONS" value="[{&quot;citationID&quot;:&quot;MENDELEY_CITATION_6007ee80-591f-438f-bc18-927d26fb4454&quot;,&quot;properties&quot;:{&quot;noteIndex&quot;:0},&quot;isEdited&quot;:false,&quot;manualOverride&quot;:{&quot;isManuallyOverridden&quot;:true,&quot;citeprocText&quot;:&quot;(Bustani et al., 2021)&quot;,&quot;manualOverrideText&quot;:&quot;Bustani et al., (2021)&quot;},&quot;citationTag&quot;:&quot;MENDELEY_CITATION_v3_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&quot;,&quot;citationItems&quot;:[{&quot;id&quot;:&quot;f8aed1e3-459c-3342-a252-c4cc846efdc9&quot;,&quot;itemData&quot;:{&quot;type&quot;:&quot;article-journal&quot;,&quot;id&quot;:&quot;f8aed1e3-459c-3342-a252-c4cc846efdc9&quot;,&quot;title&quot;:&quot;The Effect of Earning Per Share, Price to Book Value, Dividend Payout Ratio, and Net Profit Margin on the Stock Price in Indonesia Stock Exchange&quot;,&quot;author&quot;:[{&quot;family&quot;:&quot;Bustani&quot;,&quot;given&quot;:&quot;&quot;,&quot;parse-names&quot;:false,&quot;dropping-particle&quot;:&quot;&quot;,&quot;non-dropping-particle&quot;:&quot;&quot;},{&quot;family&quot;:&quot;Kurniaty&quot;,&quot;given&quot;:&quot;&quot;,&quot;parse-names&quot;:false,&quot;dropping-particle&quot;:&quot;&quot;,&quot;non-dropping-particle&quot;:&quot;&quot;},{&quot;family&quot;:&quot;Widyanti&quot;,&quot;given&quot;:&quot;Rahmi&quot;,&quot;parse-names&quot;:false,&quot;dropping-particle&quot;:&quot;&quot;,&quot;non-dropping-particle&quot;:&quot;&quot;}],&quot;container-title&quot;:&quot;Jurnal Maksipreneur: Manajemen, Koperasi, dan Entrepreneurship&quot;,&quot;accessed&quot;:{&quot;date-parts&quot;:[[2026,3,25]]},&quot;DOI&quot;:&quot;10.30588/jmp.v11i1.810&quot;,&quot;ISSN&quot;:&quot;2089-550X&quot;,&quot;URL&quot;:&quot;https://ejournal.up45.ac.id/index.php/maksipreneur/article/view/810/641&quot;,&quot;issued&quot;:{&quot;date-parts&quot;:[[2021,12]]},&quot;page&quot;:&quot;1-18&quot;,&quot;abstract&quot;:&quot;Fundamental analysis of companies with financial ratios is essential in making investment decisions for any company. Therefore, to obtain maximum profit, investors need to perform a study before making investment decisions. This research aims to examine the effect of Earning Per Share (EPS), Price to Book Value (PBV), Dividend Payout Ratio (DPR), and Net Profit Margin (NPM) on the stock price. The research at the Indonesia Stock Exchange, a sub-sector of food and beverage companies, period five years (2014-2018). The sample of this study amounted to 12 companies from 26 companies in the population of food and beverage companies that have met the researchers' criteria. Data analysis with bootstrapping used SEM (statistical equation modeling) in hypothesis testing. The research findings confirmed the significant effect of Earning per Share, Price to Book Value, and Dividend Payout Ratio on stock prices. Meanwhile, the Net Profit Margin does not significantly affect stock prices in the study period, with an alpha significance of five percent. These findings imply practical implications that EPS, PBV, DPR, and NPM ratio information can be considered in investment decisions for anyone.&quot;,&quot;publisher&quot;:&quot;Universitas Proklamasi 45 Yogyakarta&quot;,&quot;issue&quot;:&quot;1&quot;,&quot;volume&quot;:&quot;11&quot;,&quot;container-title-short&quot;:&quot;&quot;},&quot;isTemporary&quot;:false}]},{&quot;citationID&quot;:&quot;MENDELEY_CITATION_27fbc08e-311d-4131-b6dd-e2441e916827&quot;,&quot;properties&quot;:{&quot;noteIndex&quot;:0},&quot;isEdited&quot;:false,&quot;manualOverride&quot;:{&quot;isManuallyOverridden&quot;:false,&quot;citeprocText&quot;:&quot;(Ana &amp;#38; Wibowo, 2025)&quot;,&quot;manualOverrideText&quot;:&quot;&quot;},&quot;citationTag&quot;:&quot;MENDELEY_CITATION_v3_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&quot;,&quot;citationItems&quot;:[{&quot;id&quot;:&quot;0f62ff23-3882-3443-9820-01e246625fc4&quot;,&quot;itemData&quot;:{&quot;type&quot;:&quot;article-journal&quot;,&quot;id&quot;:&quot;0f62ff23-3882-3443-9820-01e246625fc4&quot;,&quot;title&quot;:&quot;Nilai Perusahaan dalam Formula Tobin’s Q Ratio&quot;,&quot;author&quot;:[{&quot;family&quot;:&quot;Ana&quot;,&quot;given&quot;:&quot;Solikhatul&quot;,&quot;parse-names&quot;:false,&quot;dropping-particle&quot;:&quot;&quot;,&quot;non-dropping-particle&quot;:&quot;&quot;},{&quot;family&quot;:&quot;Wibowo&quot;,&quot;given&quot;:&quot;Doni Teguh&quot;,&quot;parse-names&quot;:false,&quot;dropping-particle&quot;:&quot;&quot;,&quot;non-dropping-particle&quot;:&quot;&quot;}],&quot;container-title&quot;:&quot;MUQADDIMAH: Jurnal Ekonomi, Manajemen, Akuntansi dan Bisnis&quot;,&quot;accessed&quot;:{&quot;date-parts&quot;:[[2026,3,25]]},&quot;DOI&quot;:&quot;10.59246/muqaddimah.v3i1.1190&quot;,&quot;ISSN&quot;:&quot;2962-9047&quot;,&quot;URL&quot;:&quot;https://doi.org/10.59246/muqaddimah.v3i1.1190&quot;,&quot;issued&quot;:{&quot;date-parts&quot;:[[2025]]},&quot;page&quot;:&quot;126-135&quot;,&quot;abstract&quot;:&quot;Research on the value of companies in this Tobin's Q Ratio formula, how the level of market value equity, and the level of corporate debt in the model are able to measure the value of companies. The design of this study uses a descriptive analysis method, which is explanatory which explains the analysis in the Tobin's Q Ratio formula as a tool for company value. This study adopts the Tobin's Q Ratio model used as an analytical framework in measuring the value of non-cycliclas consumer sector manufacturing companies listed on the Indonesia Stock Exchange. The results of the study were obtained, the Q Ratio which was categorized as successful by being able to manage the company's assets to liabilities; AMRT, ICBP, CPIN, UNVR, HMSO, MYOR, and CMRY. Companies in the failed category are not able to manage the company's assets to liabilities; INDF, GGRM, and JPFA. The advantage of using the Tobin's formula is that it can summarize relevant information in making investment decisions. In this formula, a company can increase share capital if the Q ratio is high because if the Tobin's Q value is above, the company will produce a higher rate of return compared to that incurred by the cost of assets. Tobin's Q as a tool to measure the value of a company, is able to provide an overview of the fundamental aspects of the company and the market's view of the company.&quot;,&quot;publisher&quot;:&quot;Sekolah Tinggi Ilmu Syariah Nurul Qarnain Jember&quot;,&quot;issue&quot;:&quot;1&quot;,&quot;volume&quot;:&quot;3&quot;,&quot;container-title-short&quot;:&quot;&quot;},&quot;isTemporary&quot;:false}]},{&quot;citationID&quot;:&quot;MENDELEY_CITATION_36755453-f491-4031-88e6-055323e82ba3&quot;,&quot;properties&quot;:{&quot;noteIndex&quot;:0},&quot;isEdited&quot;:false,&quot;manualOverride&quot;:{&quot;isManuallyOverridden&quot;:true,&quot;citeprocText&quot;:&quot;(Hidayati, 2026)&quot;,&quot;manualOverrideText&quot;:&quot;Hidayati, (2026)&quot;},&quot;citationTag&quot;:&quot;MENDELEY_CITATION_v3_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&quot;,&quot;citationItems&quot;:[{&quot;id&quot;:&quot;e35f8e74-1a92-36ae-bc2d-13b41806c22b&quot;,&quot;itemData&quot;:{&quot;type&quot;:&quot;article-journal&quot;,&quot;id&quot;:&quot;e35f8e74-1a92-36ae-bc2d-13b41806c22b&quot;,&quot;title&quot;:&quot;Kualitas Tata Kelola Perusahaan dalam Memoderasi Pengaruh Laporan Keberlanjutan Terhadap Nilai Perusahaan (Studi Empiris pada Perusahaan dalam Indeks LQ45)&quot;,&quot;author&quot;:[{&quot;family&quot;:&quot;Hidayati&quot;,&quot;given&quot;:&quot;Nur Intan Mei&quot;,&quot;parse-names&quot;:false,&quot;dropping-particle&quot;:&quot;&quot;,&quot;non-dropping-particle&quot;:&quot;&quot;}],&quot;container-title&quot;:&quot;Jurnal Akuntansi Kompetif&quot;,&quot;DOI&quot;:&quot;https://doi.org/10.35446/akuntansikompetif.v9i1.2573&quot;,&quot;issued&quot;:{&quot;date-parts&quot;:[[2026,1]]},&quot;issue&quot;:&quot;1&quot;,&quot;volume&quot;:&quot;9&quot;,&quot;container-title-short&quot;:&quot;&quot;},&quot;isTemporary&quot;:false}]},{&quot;citationID&quot;:&quot;MENDELEY_CITATION_27e0f068-809d-4b9a-b81b-52a832683104&quot;,&quot;properties&quot;:{&quot;noteIndex&quot;:0},&quot;isEdited&quot;:false,&quot;manualOverride&quot;:{&quot;isManuallyOverridden&quot;:false,&quot;citeprocText&quot;:&quot;(Setyawati &amp;#38; Bernawati, 2020)&quot;,&quot;manualOverrideText&quot;:&quot;&quot;},&quot;citationTag&quot;:&quot;MENDELEY_CITATION_v3_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&quot;,&quot;citationItems&quot;:[{&quot;id&quot;:&quot;c01c4154-a99b-30ec-829e-752b9e08e30f&quot;,&quot;itemData&quot;:{&quot;type&quot;:&quot;article-journal&quot;,&quot;id&quot;:&quot;c01c4154-a99b-30ec-829e-752b9e08e30f&quot;,&quot;title&quot;:&quot;Internal Audit Function sebagai Penyedia “Kenyamanan” Komite Audit&quot;,&quot;author&quot;:[{&quot;family&quot;:&quot;Setyawati&quot;,&quot;given&quot;:&quot;Debi&quot;,&quot;parse-names&quot;:false,&quot;dropping-particle&quot;:&quot;&quot;,&quot;non-dropping-particle&quot;:&quot;&quot;},{&quot;family&quot;:&quot;Bernawati&quot;,&quot;given&quot;:&quot;Yustrida&quot;,&quot;parse-names&quot;:false,&quot;dropping-particle&quot;:&quot;&quot;,&quot;non-dropping-particle&quot;:&quot;&quot;}],&quot;container-title&quot;:&quot;Jurnal Akuntansi Multiparadigma&quot;,&quot;DOI&quot;:&quot;10.21776/ub.jamal.2020.11.3.38&quot;,&quot;ISSN&quot;:&quot;20895879&quot;,&quot;URL&quot;:&quot;https://jamal.ub.ac.id/index.php/jamal/article/view/1347&quot;,&quot;issued&quot;:{&quot;date-parts&quot;:[[2020,12,31]]},&quot;page&quot;:&quot;665-82&quot;,&quot;issue&quot;:&quot;3&quot;,&quot;volume&quot;:&quot;11&quot;,&quot;container-title-short&quot;:&quot;&quot;},&quot;isTemporary&quot;:false}]},{&quot;citationID&quot;:&quot;MENDELEY_CITATION_af516754-883d-4621-b300-de2ac6ce2c31&quot;,&quot;properties&quot;:{&quot;noteIndex&quot;:0},&quot;isEdited&quot;:false,&quot;manualOverride&quot;:{&quot;isManuallyOverridden&quot;:true,&quot;citeprocText&quot;:&quot;(Najah &amp;#38; Mukhibad, 2022)&quot;,&quot;manualOverrideText&quot;:&quot;Najah &amp; Mukhibad, (2022)&quot;},&quot;citationTag&quot;:&quot;MENDELEY_CITATION_v3_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&quot;,&quot;citationItems&quot;:[{&quot;id&quot;:&quot;0f556ec9-676d-3e34-99b3-6fa0ecf7dd39&quot;,&quot;itemData&quot;:{&quot;type&quot;:&quot;article-journal&quot;,&quot;id&quot;:&quot;0f556ec9-676d-3e34-99b3-6fa0ecf7dd39&quot;,&quot;title&quot;:&quot;Leverage, Investment Account Holder (IAH), Frekuensi Rapat Dewan Pengawas Syariah, Frekuensi Rapat Dewan Komisaris, Frekuensi Rapat Komite Audit Dan Pengaruhnya Terhadap Pengungkapan Akuntabilitas&quot;,&quot;author&quot;:[{&quot;family&quot;:&quot;Najah&quot;,&quot;given&quot;:&quot;Hasna Afifatun&quot;,&quot;parse-names&quot;:false,&quot;dropping-particle&quot;:&quot;&quot;,&quot;non-dropping-particle&quot;:&quot;&quot;},{&quot;family&quot;:&quot;Mukhibad&quot;,&quot;given&quot;:&quot;Hasan&quot;,&quot;parse-names&quot;:false,&quot;dropping-particle&quot;:&quot;&quot;,&quot;non-dropping-particle&quot;:&quot;&quot;}],&quot;container-title&quot;:&quot;AKTSAR: Jurnal Akuntansi Syariah&quot;,&quot;DOI&quot;:&quot;10.21043/aktsar.v5i1.14826&quot;,&quot;ISSN&quot;:&quot;2622-2345&quot;,&quot;issued&quot;:{&quot;date-parts&quot;:[[2022,7,5]]},&quot;page&quot;:&quot;48-72&quot;,&quot;abstract&quot;:&quot;&lt;p&gt;This study aimed to determine the effect of Leverage, investment account holders, the frequency of sharia supervisory board meetings, the frequency of board of commissioners meetings, and the frequency of audit committee meetings on accountability disclosure (financial, social, sharia). The object of this research is 14 Islamic commercial banks in Indonesia. The sampling technique was purposive sampling, so 108 units of analysis were obtained. The data was analyzed by panel data regression analysis in the form of a fixed effect model (FEM). The results of this study indicate that investment account holders, the frequency of sharia supervisory board meetings, and the frequency of audit committee meetings have a positive effect on accountability disclosure. However, Leverage and the frequency of board of commissioners' meetings have no impact on accountability disclosure.&lt;/p&gt;&quot;,&quot;publisher&quot;:&quot;State Islamic College of Kudus&quot;,&quot;issue&quot;:&quot;1&quot;,&quot;volume&quot;:&quot;5&quot;,&quot;container-title-short&quot;:&quot;&quot;},&quot;isTemporary&quot;:false}]},{&quot;citationID&quot;:&quot;MENDELEY_CITATION_0436a951-e188-4e59-95fc-f5bc8a46b2bc&quot;,&quot;properties&quot;:{&quot;noteIndex&quot;:0},&quot;isEdited&quot;:false,&quot;manualOverride&quot;:{&quot;isManuallyOverridden&quot;:false,&quot;citeprocText&quot;:&quot;(Rosalina, 2025)&quot;,&quot;manualOverrideText&quot;:&quot;&quot;},&quot;citationTag&quot;:&quot;MENDELEY_CITATION_v3_eyJjaXRhdGlvbklEIjoiTUVOREVMRVlfQ0lUQVRJT05fMDQzNmE5NTEtZTE4OC00ZTU5LTk1ZmMtZjViYzhhNDZiMmJj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quot;,&quot;citationItems&quot;:[{&quot;id&quot;:&quot;048d8b56-6c92-3f7f-8575-407ce292afcc&quot;,&quot;itemData&quot;:{&quot;type&quot;:&quot;article-journal&quot;,&quot;id&quot;:&quot;048d8b56-6c92-3f7f-8575-407ce292afcc&quot;,&quot;title&quot;:&quot;Pengaruh Keahlian Komite Audit dan Frekuensi Rapat\nKomite Audit terhadap Kualitas Pelaporan Keuangan di\nSektor Kesehatan&quot;,&quot;author&quot;:[{&quot;family&quot;:&quot;Rosalina&quot;,&quot;given&quot;:&quot;&quot;,&quot;parse-names&quot;:false,&quot;dropping-particle&quot;:&quot;&quot;,&quot;non-dropping-particle&quot;:&quot;&quot;}],&quot;container-title&quot;:&quot;Syntax Idea&quot;,&quot;DOI&quot;:&quot;https://doi.org/10.46799/syntaxidea.v7i7.13409&quot;,&quot;issued&quot;:{&quot;date-parts&quot;:[[2025,7]]},&quot;page&quot;:&quot;2548-1398&quot;,&quot;issue&quot;:&quot;7&quot;,&quot;volume&quot;:&quot;7&quot;,&quot;container-title-short&quot;:&quot;&quot;},&quot;isTemporary&quot;:false}]},{&quot;citationID&quot;:&quot;MENDELEY_CITATION_743f7472-a2d6-4395-b587-b962ea6f2a46&quot;,&quot;properties&quot;:{&quot;noteIndex&quot;:0},&quot;isEdited&quot;:false,&quot;manualOverride&quot;:{&quot;isManuallyOverridden&quot;:true,&quot;citeprocText&quot;:&quot;(Septriana et al., 2023)&quot;,&quot;manualOverrideText&quot;:&quot;Septriana et al., (2023)&quot;},&quot;citationTag&quot;:&quot;MENDELEY_CITATION_v3_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&quot;,&quot;citationItems&quot;:[{&quot;id&quot;:&quot;6a5c2d6e-48fe-3a66-9e45-2f8827e73907&quot;,&quot;itemData&quot;:{&quot;type&quot;:&quot;article-journal&quot;,&quot;id&quot;:&quot;6a5c2d6e-48fe-3a66-9e45-2f8827e73907&quot;,&quot;title&quot;:&quot;Startegi Industri Hijau, Pengungkapan Laporan Keberlanjutan dan Pertumbuhan Penjualan\nterhadap Nilai Perusahaan di Sektor Pertambangan&quot;,&quot;author&quot;:[{&quot;family&quot;:&quot;Septriana&quot;,&quot;given&quot;:&quot;Theresia&quot;,&quot;parse-names&quot;:false,&quot;dropping-particle&quot;:&quot;&quot;,&quot;non-dropping-particle&quot;:&quot;&quot;},{&quot;family&quot;:&quot;Kuntadi&quot;,&quot;given&quot;:&quot;Chris&quot;,&quot;parse-names&quot;:false,&quot;dropping-particle&quot;:&quot;&quot;,&quot;non-dropping-particle&quot;:&quot;&quot;},{&quot;family&quot;:&quot;Pramukty&quot;,&quot;given&quot;:&quot;Rachmat&quot;,&quot;parse-names&quot;:false,&quot;dropping-particle&quot;:&quot;&quot;,&quot;non-dropping-particle&quot;:&quot;&quot;}],&quot;container-title&quot;:&quot;JURNALSOSIAL DAN SAINS&quot;,&quot;ISSN&quot;:&quot;2774-7018&quot;,&quot;URL&quot;:&quot;http://sosains.greenvest.co.id&quot;,&quot;issued&quot;:{&quot;date-parts&quot;:[[2023]]},&quot;abstract&quot;:&quot;Kata kunci: industri hijau, pengungkapan laporan berkelajutan, pertumbuhan penjualan nilai perusahan, nilai perusahaan.&quot;,&quot;issue&quot;:&quot;4&quot;,&quot;volume&quot;:&quot;3&quot;,&quot;container-title-short&quot;:&quot;&quot;},&quot;isTemporary&quot;:false}]},{&quot;citationID&quot;:&quot;MENDELEY_CITATION_2b4c9660-8eca-4306-87c5-926219b11475&quot;,&quot;properties&quot;:{&quot;noteIndex&quot;:0},&quot;isEdited&quot;:false,&quot;manualOverride&quot;:{&quot;isManuallyOverridden&quot;:false,&quot;citeprocText&quot;:&quot;(Astuti et al., 2025)&quot;,&quot;manualOverrideText&quot;:&quot;&quot;},&quot;citationTag&quot;:&quot;MENDELEY_CITATION_v3_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&quot;,&quot;citationItems&quot;:[{&quot;id&quot;:&quot;b76dd297-1d79-3f19-9f40-14c5620a9ce0&quot;,&quot;itemData&quot;:{&quot;type&quot;:&quot;article-journal&quot;,&quot;id&quot;:&quot;b76dd297-1d79-3f19-9f40-14c5620a9ce0&quot;,&quot;title&quot;:&quot;Model Konseptual Integrasi Akuntansi Lingkungan ke dalam\nPelaporan Keuangan: Implikasi bagi Akuntanbilitas dan Praktik Akuntansi Modern&quot;,&quot;author&quot;:[{&quot;family&quot;:&quot;Astuti&quot;,&quot;given&quot;:&quot;Novising Dewi&quot;,&quot;parse-names&quot;:false,&quot;dropping-particle&quot;:&quot;&quot;,&quot;non-dropping-particle&quot;:&quot;&quot;},{&quot;family&quot;:&quot;Malau&quot;,&quot;given&quot;:&quot;Eve Ida&quot;,&quot;parse-names&quot;:false,&quot;dropping-particle&quot;:&quot;&quot;,&quot;non-dropping-particle&quot;:&quot;&quot;},{&quot;family&quot;:&quot;Bahantwelu&quot;,&quot;given&quot;:&quot;Maria Immaculata&quot;,&quot;parse-names&quot;:false,&quot;dropping-particle&quot;:&quot;&quot;,&quot;non-dropping-particle&quot;:&quot;&quot;}],&quot;container-title&quot;:&quot;Jurnal Akuntansi: Transparansi dan Akuntabilitas&quot;,&quot;DOI&quot;:&quot;https://doi.org/10.35508/jak.v13i2.25476&quot;,&quot;issued&quot;:{&quot;date-parts&quot;:[[2025,10]]},&quot;page&quot;:&quot;77-85&quot;,&quot;issue&quot;:&quot;2&quot;,&quot;volume&quot;:&quot;13&quot;,&quot;container-title-short&quot;:&quot;&quot;},&quot;isTemporary&quot;:false}]},{&quot;citationID&quot;:&quot;MENDELEY_CITATION_9be6d5ea-b42f-4896-b2f4-c602047ea331&quot;,&quot;properties&quot;:{&quot;noteIndex&quot;:0},&quot;isEdited&quot;:false,&quot;manualOverride&quot;:{&quot;isManuallyOverridden&quot;:true,&quot;citeprocText&quot;:&quot;(Putra &amp;#38; Sisdianto, 2024)&quot;,&quot;manualOverrideText&quot;:&quot;Putra &amp; Sisdianto, (2024)&quot;},&quot;citationTag&quot;:&quot;MENDELEY_CITATION_v3_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&quot;,&quot;citationItems&quot;:[{&quot;id&quot;:&quot;c6a1d6e6-b616-33b1-a641-7900d198fa8b&quot;,&quot;itemData&quot;:{&quot;type&quot;:&quot;article-journal&quot;,&quot;id&quot;:&quot;c6a1d6e6-b616-33b1-a641-7900d198fa8b&quot;,&quot;title&quot;:&quot;PT. Media Akademik Publisher Penerapan Green Accounting Dalam Mendukung Keberlanjutan Perusahan di Indonesia.&quot;,&quot;author&quot;:[{&quot;family&quot;:&quot;Putra&quot;,&quot;given&quot;:&quot;Bayuni&quot;,&quot;parse-names&quot;:false,&quot;dropping-particle&quot;:&quot;&quot;,&quot;non-dropping-particle&quot;:&quot;&quot;},{&quot;family&quot;:&quot;Sisdianto&quot;,&quot;given&quot;:&quot;Ersi&quot;,&quot;parse-names&quot;:false,&quot;dropping-particle&quot;:&quot;&quot;,&quot;non-dropping-particle&quot;:&quot;&quot;}],&quot;container-title&quot;:&quot;JURNAL MEDIA AKADEMIK (JMA)&quot;,&quot;DOI&quot;:&quot;10.62281&quot;,&quot;issued&quot;:{&quot;date-parts&quot;:[[2024,12,5]]},&quot;page&quot;:&quot;3031-5220&quot;,&quot;issue&quot;:&quot;12&quot;,&quot;volume&quot;:&quot;2&quot;,&quot;container-title-short&quot;:&quot;&quot;},&quot;isTemporary&quot;:false}]},{&quot;citationID&quot;:&quot;MENDELEY_CITATION_b8be64ff-70cd-42e0-8d60-440055afadc9&quot;,&quot;properties&quot;:{&quot;noteIndex&quot;:0},&quot;isEdited&quot;:false,&quot;manualOverride&quot;:{&quot;isManuallyOverridden&quot;:true,&quot;citeprocText&quot;:&quot;(Sìmnett et al., 2009)&quot;,&quot;manualOverrideText&quot;:&quot;Sìmnett et al., (2009)&quot;},&quot;citationTag&quot;:&quot;MENDELEY_CITATION_v3_eyJjaXRhdGlvbklEIjoiTUVOREVMRVlfQ0lUQVRJT05fYjhiZTY0ZmYtNzBjZC00MmUwLThkNjAtNDQwMDU1YWZhZGM5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quot;,&quot;citationItems&quot;:[{&quot;id&quot;:&quot;d6f9a466-9c0a-355a-8f78-c16ec163c90a&quot;,&quot;itemData&quot;:{&quot;type&quot;:&quot;article-journal&quot;,&quot;id&quot;:&quot;d6f9a466-9c0a-355a-8f78-c16ec163c90a&quot;,&quot;title&quot;:&quot;Assurance on Sustainability Reports: An International Comparison&quot;,&quot;author&quot;:[{&quot;family&quot;:&quot;Sìmnett&quot;,&quot;given&quot;:&quot;Roger&quot;,&quot;parse-names&quot;:false,&quot;dropping-particle&quot;:&quot;&quot;,&quot;non-dropping-particle&quot;:&quot;&quot;},{&quot;family&quot;:&quot;Vanstraelen&quot;,&quot;given&quot;:&quot;Ann&quot;,&quot;parse-names&quot;:false,&quot;dropping-particle&quot;:&quot;&quot;,&quot;non-dropping-particle&quot;:&quot;&quot;},{&quot;family&quot;:&quot;Chua&quot;,&quot;given&quot;:&quot;Wai Fong&quot;,&quot;parse-names&quot;:false,&quot;dropping-particle&quot;:&quot;&quot;,&quot;non-dropping-particle&quot;:&quot;&quot;}],&quot;container-title&quot;:&quot;Accounting Review&quot;,&quot;DOI&quot;:&quot;10.2308/accr.2009.84.3.937&quot;,&quot;ISSN&quot;:&quot;00014826&quot;,&quot;issued&quot;:{&quot;date-parts&quot;:[[2009,5]]},&quot;page&quot;:&quot;937-967&quot;,&quot;abstract&quot;:&quot;Globally, companies increasingly publish separate general purpose, non-financial (sustainability) reports. Some of these are independently assured and assurers may or may not be from the auditing profession. We seek to understand this emerging voluntary assurance market. Using a sample of 2,113 companies (from 31 countries) that produced sustainability reports between 2002-2004, we use sequential logit analysis to identify the factors associated with the decision to voluntarily purchase assurance and the choice of assurance provider. We hypothesize that a company's need to enhance credibility through assurance and choice of assurance provider will be a function of company-, industry-, and country-related factors. Our results support the argument that companies seeking to enhance the credibility of their reports and build their corporate reputation are more likely to have their sustainability reports assured, although it does not matter whether the assurance provider comes from the auditing profession. We also find that companies operating in stakeholder-orientated countries are more likely to choose the auditing profession as an assurer.&quot;,&quot;issue&quot;:&quot;3&quot;,&quot;volume&quot;:&quot;84&quot;,&quot;container-title-short&quot;:&quot;&quot;},&quot;isTemporary&quot;:false}]},{&quot;citationID&quot;:&quot;MENDELEY_CITATION_f5d4e96e-5b73-4d24-a0d1-449b56992cf3&quot;,&quot;properties&quot;:{&quot;noteIndex&quot;:0},&quot;isEdited&quot;:false,&quot;manualOverride&quot;:{&quot;isManuallyOverridden&quot;:true,&quot;citeprocText&quot;:&quot;(Kolk &amp;#38; Perego, 2010)&quot;,&quot;manualOverrideText&quot;:&quot;Kolk &amp; Perego, (2010)&quot;},&quot;citationTag&quot;:&quot;MENDELEY_CITATION_v3_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&quot;,&quot;citationItems&quot;:[{&quot;id&quot;:&quot;a20226f2-1724-3aa1-bb92-99d752a8a630&quot;,&quot;itemData&quot;:{&quot;type&quot;:&quot;article-journal&quot;,&quot;id&quot;:&quot;a20226f2-1724-3aa1-bb92-99d752a8a630&quot;,&quot;title&quot;:&quot;Determinants of the Adoption od Sustainability Assurance Statements: An International Investigation&quot;,&quot;author&quot;:[{&quot;family&quot;:&quot;Kolk&quot;,&quot;given&quot;:&quot;Ans&quot;,&quot;parse-names&quot;:false,&quot;dropping-particle&quot;:&quot;&quot;,&quot;non-dropping-particle&quot;:&quot;&quot;},{&quot;family&quot;:&quot;Perego&quot;,&quot;given&quot;:&quot;Paolo&quot;,&quot;parse-names&quot;:false,&quot;dropping-particle&quot;:&quot;&quot;,&quot;non-dropping-particle&quot;:&quot;&quot;}],&quot;container-title&quot;:&quot;Business strategy and the environment&quot;,&quot;container-title-short&quot;:&quot;Bus. Strategy Environ.&quot;,&quot;DOI&quot;:&quot;https://doi.org/10.1002/bse.643&quot;,&quot;URL&quot;:&quot;http://ssrn.com/abstract=1284589Electroniccopyavailableat:http://ssrn.com/abstract=1284589Electroniccopyavailableat:http://ssrn.com/abstract=1284589Electroniccopyavailableat:http://ssrn.com/abstract=1284589&quot;,&quot;issued&quot;:{&quot;date-parts&quot;:[[2010]]},&quot;abstract&quot;:&quot;This paper explores the factors associated with the voluntary decisions to assure social, environmental and sustainability reports. Since the market for assurance services in this area is in its formative stages, there is a limited understanding of the demand for this emergent non-financial auditing practice, which is evolving rapidly across different countries. Drawing from extant literature in international auditing and environmental accounting, we focus on a set of country-level institutional factors to explain the adoption of sustainability assurances statements among an international panel of 212 Fortune Global 250 companies for the years 1999, 2002 and 2005. Consistently with our expectations, our results provide evidence that companies operating in countries that are more stakeholder-oriented and have a weaker governance enforcement regime are more likely to adopt a sustainability assurance statement. Further, the demand for assurance is higher in countries where sustainable corporate practices are better enabled by market and institutional mechanisms. Our exploratory findings also indicate that the likelihood to choose a large accounting firm as assurance provider increases for companies domiciled in countries that are shareholder-oriented and have a lower level of litigation. We conclude the paper suggesting three directions of research in the area of sustainability assurance that have relevant academic and practical implications.&quot;},&quot;isTemporary&quot;:false}]},{&quot;citationID&quot;:&quot;MENDELEY_CITATION_180b7dbd-bff6-43c1-96b4-4025c1eba77c&quot;,&quot;properties&quot;:{&quot;noteIndex&quot;:0},&quot;isEdited&quot;:false,&quot;manualOverride&quot;:{&quot;isManuallyOverridden&quot;:true,&quot;citeprocText&quot;:&quot;(Sari et al., 2018)&quot;,&quot;manualOverrideText&quot;:&quot;Sari et al., (2018)&quot;},&quot;citationTag&quot;:&quot;MENDELEY_CITATION_v3_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&quot;,&quot;citationItems&quot;:[{&quot;id&quot;:&quot;25397e0a-8a79-3f16-a391-0547c00b0e16&quot;,&quot;itemData&quot;:{&quot;type&quot;:&quot;article-journal&quot;,&quot;id&quot;:&quot;25397e0a-8a79-3f16-a391-0547c00b0e16&quot;,&quot;title&quot;:&quot;Pengaruh Pengungkapan Coporate Social Responsibility dan Jumlah Komite Audit terhadap Nilai Perusahaan dengan\nUkuran Perusahaan sebagai Variabel Moderator di Bursa Efek Indonesia&quot;,&quot;author&quot;:[{&quot;family&quot;:&quot;Sari&quot;,&quot;given&quot;:&quot;Rafika&quot;,&quot;parse-names&quot;:false,&quot;dropping-particle&quot;:&quot;&quot;,&quot;non-dropping-particle&quot;:&quot;&quot;},{&quot;family&quot;:&quot;Wahyudi&quot;,&quot;given&quot;:&quot;Tertiarto&quot;,&quot;parse-names&quot;:false,&quot;dropping-particle&quot;:&quot;&quot;,&quot;non-dropping-particle&quot;:&quot;&quot;},{&quot;family&quot;:&quot;Isnurhadi&quot;,&quot;given&quot;:&quot;&quot;,&quot;parse-names&quot;:false,&quot;dropping-particle&quot;:&quot;&quot;,&quot;non-dropping-particle&quot;:&quot;&quot;}],&quot;container-title&quot;:&quot;Jurnal Muara Ilmu Ekonomi dan Bisnis&quot;,&quot;accessed&quot;:{&quot;date-parts&quot;:[[2026,3,25]]},&quot;URL&quot;:&quot;https://scholar.googleusercontent.com/scholar?q=cache:_zAl4O5jrNYJ:scholar.google.com/+PENGARUH+PENGUNGKAPAN+CORPORATE+SOCIAL+RESPONSIBILITY+DAN+JUMLAH+KOMITE+AUDIT+TERHADAP+NILAI+PERUSAHAAN+DENGAN+UKURAN+PERUSAHAAN+SEBAGAI+VARIABEL+MODERATOR+DI+BURSA+EFEK+INDONESIA&amp;hl=id&amp;as_sdt=0,5&quot;,&quot;issued&quot;:{&quot;date-parts&quot;:[[2018,4]]},&quot;page&quot;:&quot;210-217&quot;,&quot;issue&quot;:&quot;1&quot;,&quot;volume&quot;:&quot;2&quot;,&quot;container-title-short&quot;:&quot;&quot;},&quot;isTemporary&quot;:false}]},{&quot;citationID&quot;:&quot;MENDELEY_CITATION_d6f06dfd-cd7a-4fd5-93d9-5cb0aff4d2bf&quot;,&quot;properties&quot;:{&quot;noteIndex&quot;:0},&quot;isEdited&quot;:false,&quot;manualOverride&quot;:{&quot;isManuallyOverridden&quot;:false,&quot;citeprocText&quot;:&quot;(Lim, 2025)&quot;,&quot;manualOverrideText&quot;:&quot;&quot;},&quot;citationTag&quot;:&quot;MENDELEY_CITATION_v3_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&quot;,&quot;citationItems&quot;:[{&quot;id&quot;:&quot;3b17bee1-f150-3afc-8533-5504a3b2843e&quot;,&quot;itemData&quot;:{&quot;type&quot;:&quot;article-journal&quot;,&quot;id&quot;:&quot;3b17bee1-f150-3afc-8533-5504a3b2843e&quot;,&quot;title&quot;:&quot;Pengaruh Kapalitas Pasar, Ukuran Perusahaan, Arus Kas Bebas, Kebijakan Dividen, dan Tingkat Suku Bunga Terhadap Nilai Perusahaan&quot;,&quot;author&quot;:[{&quot;family&quot;:&quot;Lim&quot;,&quot;given&quot;:&quot;Jennifer &amp; Supriyanto&quot;,&quot;parse-names&quot;:false,&quot;dropping-particle&quot;:&quot;&quot;,&quot;non-dropping-particle&quot;:&quot;&quot;}],&quot;container-title&quot;:&quot;Jurnal Akuntansi Terapan dan Bisnis&quot;,&quot;DOI&quot;:&quot;10.25047/asersi.v5i2.6506&quot;,&quot;issued&quot;:{&quot;date-parts&quot;:[[2025]]},&quot;page&quot;:&quot;94-102&quot;,&quot;issue&quot;:&quot;2&quot;,&quot;volume&quot;:&quot;5&quot;,&quot;container-title-short&quot;:&quot;&quot;},&quot;isTemporary&quot;:false}]},{&quot;citationID&quot;:&quot;MENDELEY_CITATION_52093881-d304-4a42-9ed9-6265c32fc3b8&quot;,&quot;properties&quot;:{&quot;noteIndex&quot;:0},&quot;isEdited&quot;:false,&quot;manualOverride&quot;:{&quot;isManuallyOverridden&quot;:false,&quot;citeprocText&quot;:&quot;(Rohman et al., 2024)&quot;,&quot;manualOverrideText&quot;:&quot;&quot;},&quot;citationTag&quot;:&quot;MENDELEY_CITATION_v3_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&quot;,&quot;citationItems&quot;:[{&quot;id&quot;:&quot;b616270f-cdea-3449-a168-5540860b6ac5&quot;,&quot;itemData&quot;:{&quot;type&quot;:&quot;article-journal&quot;,&quot;id&quot;:&quot;b616270f-cdea-3449-a168-5540860b6ac5&quot;,&quot;title&quot;:&quot;Pengaruh Environmental, Social, and Governance (ESG) terhadap Financial Performance : Peran Struktur Kepemilikan sebagai Variabel Pemoderasi&quot;,&quot;author&quot;:[{&quot;family&quot;:&quot;Rohman&quot;,&quot;given&quot;:&quot;Hidayatul Aisyah Nur&quot;,&quot;parse-names&quot;:false,&quot;dropping-particle&quot;:&quot;&quot;,&quot;non-dropping-particle&quot;:&quot;&quot;},{&quot;family&quot;:&quot;Ainiyah&quot;,&quot;given&quot;:&quot;Nur&quot;,&quot;parse-names&quot;:false,&quot;dropping-particle&quot;:&quot;&quot;,&quot;non-dropping-particle&quot;:&quot;&quot;},{&quot;family&quot;:&quot;Ilmidaviq&quot;,&quot;given&quot;:&quot;M.Bahril&quot;,&quot;parse-names&quot;:false,&quot;dropping-particle&quot;:&quot;&quot;,&quot;non-dropping-particle&quot;:&quot;&quot;}],&quot;container-title&quot;:&quot;Jurnal Ilmiah Ekonomi, Akuntansi, dan Pajak&quot;,&quot;DOI&quot;:&quot;10.61132/jieap.v1i3.425&quot;,&quot;ISSN&quot;:&quot;3046-8752&quot;,&quot;issued&quot;:{&quot;date-parts&quot;:[[2024,8,22]]},&quot;page&quot;:&quot;265-280&quot;,&quot;abstract&quot;:&quot;This study aims to examine the impact of each ESG (environmental, social, governance) aspect on the financial performance of mining companies listed on the Indonesia Stock Exchange, with ownership structure proxied by managerial ownership as a moderating variable. This quantitative research employs purposive sampling, resulting in a sample of 10 mining companies listed on the IDX for the period 2019-2023. Data analysis was conducted using SPSS version 22 with multiple linear regression and Moderate Regression Analysis (MRA) methods. The results show that both partially and simultaneously, all ESG variables affect financial performance, though the social aspect has a negative impact. Additionally, managerial ownership is proven to moderate the relationship between ESG aspects and financial performance.&quot;,&quot;publisher&quot;:&quot;Asosiasi Riset Ilmu Manajemen dan Bisnis Indonesia&quot;,&quot;issue&quot;:&quot;3&quot;,&quot;volume&quot;:&quot;1&quot;,&quot;container-title-short&quot;:&quot;&quot;},&quot;isTemporary&quot;:false}]},{&quot;citationID&quot;:&quot;MENDELEY_CITATION_1fb14b77-02f6-4c94-b615-f630c5df2f44&quot;,&quot;properties&quot;:{&quot;noteIndex&quot;:0},&quot;isEdited&quot;:false,&quot;manualOverride&quot;:{&quot;isManuallyOverridden&quot;:false,&quot;citeprocText&quot;:&quot;(Lusiana et al., 2025)&quot;,&quot;manualOverrideText&quot;:&quot;&quot;},&quot;citationTag&quot;:&quot;MENDELEY_CITATION_v3_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&quot;,&quot;citationItems&quot;:[{&quot;id&quot;:&quot;e77fdd08-a2a8-34a2-ab87-7efc550c1bb8&quot;,&quot;itemData&quot;:{&quot;type&quot;:&quot;article-journal&quot;,&quot;id&quot;:&quot;e77fdd08-a2a8-34a2-ab87-7efc550c1bb8&quot;,&quot;title&quot;:&quot;Analisis Fundamental dan Teknikal terhadap Return Saham pada Perusahaan Multisektor IDX 30 yang Terdaftar di BEI&quot;,&quot;author&quot;:[{&quot;family&quot;:&quot;Lusiana&quot;,&quot;given&quot;:&quot;Sindi Ayu&quot;,&quot;parse-names&quot;:false,&quot;dropping-particle&quot;:&quot;&quot;,&quot;non-dropping-particle&quot;:&quot;&quot;},{&quot;family&quot;:&quot;Tripermata&quot;,&quot;given&quot;:&quot;Lukita&quot;,&quot;parse-names&quot;:false,&quot;dropping-particle&quot;:&quot;&quot;,&quot;non-dropping-particle&quot;:&quot;&quot;},{&quot;family&quot;:&quot;Putri&quot;,&quot;given&quot;:&quot;Andini Utari&quot;,&quot;parse-names&quot;:false,&quot;dropping-particle&quot;:&quot;&quot;,&quot;non-dropping-particle&quot;:&quot;&quot;}],&quot;container-title&quot;:&quot;AKUA: Jurnal Akuntansi dan Keuangan&quot;,&quot;DOI&quot;:&quot;10.54259/akua.v4i4.5646&quot;,&quot;ISSN&quot;:&quot;2810-0735&quot;,&quot;issued&quot;:{&quot;date-parts&quot;:[[2025,10,15]]},&quot;page&quot;:&quot;873-879&quot;,&quot;abstract&quot;:&quot;This study aims to analyze the influence of fundamental and technical analysis on stock returns of multi-sector companies listed in the IDX30 index on the Indonesia Stock Exchange (IDX) during the 2022–2024 period. Fundamental analysis is measured using Return on Assets (ROA) and Return on Equity (ROE), while technical analysis is measured using the Moving Average (MA) and Relative Strength Index (RSI) indicators. The research employs a descriptive quantitative method with a multiple linear regression approach. The sample was selected through purposive sampling, resulting in 17 companies and 51 observational data points over a 3-year period. Data analysis techniques include classical assumption testing, regression analysis, and hypothesis testing both partially (t-test) and simultaneously (F-test). The results of this study are expected to provide valuable insights for investors regarding the importance of combining fundamental and technical analysis to improve the accuracy of return predictions and the effectiveness of investment decisions in the Indonesian capital market.&quot;,&quot;publisher&quot;:&quot;Yayasan Pendidikan Penelitian Pengabdian Algero&quot;,&quot;issue&quot;:&quot;4&quot;,&quot;volume&quot;:&quot;4&quot;,&quot;container-title-short&quot;:&quot;&quot;},&quot;isTemporary&quot;:false}]},{&quot;citationID&quot;:&quot;MENDELEY_CITATION_92f342e9-5c3c-4a85-8815-adfc5a06d533&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mFjY2Vzc2VkIjp7ImRhdGUtcGFydHMiOltbMjAyNiwzLDI1XV19LCJVUkwiOiJodHRwczovL3d3dy50YXlsb3JmcmFuY2lzLmNvbS9jaGFwdGVycy9lZGl0LzEwLjQzMjQvOTc4MTMxNTE5MTE1Ny05L3RoZW9yeS1maXJtLW1hbmFnZXJpYWwtYmVoYXZpb3ItYWdlbmN5LWNvc3RzLW93bmVyc2hpcC1zdHJ1Y3R1cmUtbWljaGFlbC1qZW5zZW4td2lsbGlhbS1tZWNrbGluZyIsImlzc3VlZCI6eyJkYXRlLXBhcnRzIjpbWzE5NzYsMTBdXX0sInBhZ2U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LCJ2b2x1bWUiOiIzIn0sImlzVGVtcG9yYXJ5IjpmYWxzZX1dfQ==&quot;,&quot;citationItems&quot;:[{&quot;id&quot;:&quot;f3308820-3c6b-34bd-9831-fd955f6e6c66&quot;,&quot;itemData&quot;:{&quot;type&quot;:&quot;article-journal&quot;,&quot;id&quot;:&quot;f3308820-3c6b-34bd-9831-fd955f6e6c66&quot;,&quot;title&quot;:&quot;Theory of the Firm: Managerial Behavior,\n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accessed&quot;:{&quot;date-parts&quot;:[[2026,3,25]]},&quot;URL&quot;:&quot;https://www.taylorfrancis.com/chapters/edit/10.4324/9781315191157-9/theory-firm-managerial-behavior-agency-costs-ownership-structure-michael-jensen-william-meckling&quot;,&quot;issued&quot;:{&quot;date-parts&quot;:[[1976,10]]},&quot;page&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volume&quot;:&quot;3&quot;},&quot;isTemporary&quot;:false}]},{&quot;citationID&quot;:&quot;MENDELEY_CITATION_d95af001-abac-48f6-9e94-e9e26d7f25c6&quot;,&quot;properties&quot;:{&quot;noteIndex&quot;:0},&quot;isEdited&quot;:false,&quot;manualOverride&quot;:{&quot;isManuallyOverridden&quot;:true,&quot;citeprocText&quot;:&quot;(Karnawati, 2018)&quot;,&quot;manualOverrideText&quot;:&quot;Karnawati, (2018)&quot;},&quot;citationTag&quot;:&quot;MENDELEY_CITATION_v3_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&quot;,&quot;citationItems&quot;:[{&quot;id&quot;:&quot;6799026b-e579-3bf9-9d08-df6598143877&quot;,&quot;itemData&quot;:{&quot;type&quot;:&quot;article-journal&quot;,&quot;id&quot;:&quot;6799026b-e579-3bf9-9d08-df6598143877&quot;,&quot;title&quot;:&quot;Faktor-Faktor yang Berpengaruh terhadap Manajemen Laba dan Kinerja Perusahaan (Studi Empiris pada Perusahaan Manufaktur)&quot;,&quot;author&quot;:[{&quot;family&quot;:&quot;Karnawati&quot;,&quot;given&quot;:&quot;Yosevin&quot;,&quot;parse-names&quot;:false,&quot;dropping-particle&quot;:&quot;&quot;,&quot;non-dropping-particle&quot;:&quot;&quot;}],&quot;container-title&quot;:&quot;Jurnal Ekonomi&quot;,&quot;DOI&quot;:&quot;https://doi.org/10.47007/jeko.v9i02.2531&quot;,&quot;issued&quot;:{&quot;date-parts&quot;:[[2018,11]]},&quot;abstract&quot;:&quot;The issue raised from this research is that company performance is an important tool in decision making for internal and external parties, making these decisions by considering various variables that can affect company performance such as information asymmetry, company size, managerial ownership and the size of the board of directors and management The purpose of the study is to examine the effect of information asymmetry, firm size, managerial ownership and board size on a company's performance by considering earnings management as an intervening variable. The data analysis method used is path analysis with 2S OLS, sampling using a purposive sampling method, with the criteria of manufacturing companies consistently listed on the Stock Exchange in 2012-2015 and actively trading in shares. The type of data is secondary data sourced from the annual financial report. The results showed that in the first model information asymmetry and managerial ownership had an effect on earnings management, in the second model company size, managerial ownership and the size of the board of directors had an effect on company performance and the third model of earnings management had an effect on company performance. Earnings management is not able to mediate the influence of information asymmetry, company size, managerial ownership and the size of the board of directors on company performance. The findings of this study indicate that during the period of 2012-2015 manufacturing companies indicated to act as earnings management by decreasing income.&quot;,&quot;issue&quot;:&quot;2&quot;,&quot;volume&quot;:&quot;9&quot;,&quot;container-title-short&quot;:&quot;&quot;},&quot;isTemporary&quot;:false}]},{&quot;citationID&quot;:&quot;MENDELEY_CITATION_671bd10a-c0fb-4c78-addc-907e375c2ada&quot;,&quot;properties&quot;:{&quot;noteIndex&quot;:0},&quot;isEdited&quot;:false,&quot;manualOverride&quot;:{&quot;isManuallyOverridden&quot;:true,&quot;citeprocText&quot;:&quot;(Spence, 2009)&quot;,&quot;manualOverrideText&quot;:&quot;Spence, (2009)&quot;},&quot;citationTag&quot;:&quot;MENDELEY_CITATION_v3_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&quot;,&quot;citationItems&quot;:[{&quot;id&quot;:&quot;cf52ce67-bcc1-3ae7-af45-76a845551f5a&quot;,&quot;itemData&quot;:{&quot;type&quot;:&quot;article-journal&quot;,&quot;id&quot;:&quot;cf52ce67-bcc1-3ae7-af45-76a845551f5a&quot;,&quot;title&quot;:&quot;Job Market Signaling&quot;,&quot;author&quot;:[{&quot;family&quot;:&quot;Spence&quot;,&quot;given&quot;:&quot;Michael&quot;,&quot;parse-names&quot;:false,&quot;dropping-particle&quot;:&quot;&quot;,&quot;non-dropping-particle&quot;:&quot;&quot;}],&quot;container-title&quot;:&quot;Uncertainty in Economics&quot;,&quot;DOI&quot;:&quot;https://doi.org/10.1016/B978-0-12-214850-7.50025-5&quot;,&quot;issued&quot;:{&quot;date-parts&quot;:[[2009]]},&quot;page&quot;:&quot;355-374&quot;,&quot;issue&quot;:&quot;3&quot;,&quot;volume&quot;:&quot;87&quot;,&quot;container-title-short&quot;:&quot;&quot;},&quot;isTemporary&quot;:false}]},{&quot;citationID&quot;:&quot;MENDELEY_CITATION_9acebac9-67d2-4a2d-bf47-3fd85f86e8fa&quot;,&quot;properties&quot;:{&quot;noteIndex&quot;:0},&quot;isEdited&quot;:false,&quot;manualOverride&quot;:{&quot;isManuallyOverridden&quot;:false,&quot;citeprocText&quot;:&quot;(Susanto &amp;#38; Tarigan, 2013)&quot;,&quot;manualOverrideText&quot;:&quot;&quot;},&quot;citationTag&quot;:&quot;MENDELEY_CITATION_v3_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&quot;,&quot;citationItems&quot;:[{&quot;id&quot;:&quot;1447e56a-dfd5-3743-943b-127bf6f5f4b3&quot;,&quot;itemData&quot;:{&quot;type&quot;:&quot;article-journal&quot;,&quot;id&quot;:&quot;1447e56a-dfd5-3743-943b-127bf6f5f4b3&quot;,&quot;title&quot;:&quot;Pengaruh Pengungkapan Sustainability Report terhadap Profitabilitas Perusahaan&quot;,&quot;author&quot;:[{&quot;family&quot;:&quot;Susanto&quot;,&quot;given&quot;:&quot;Yohanes Kurniawa&quot;,&quot;parse-names&quot;:false,&quot;dropping-particle&quot;:&quot;&quot;,&quot;non-dropping-particle&quot;:&quot;&quot;},{&quot;family&quot;:&quot;Tarigan&quot;,&quot;given&quot;:&quot;Josua&quot;,&quot;parse-names&quot;:false,&quot;dropping-particle&quot;:&quot;&quot;,&quot;non-dropping-particle&quot;:&quot;&quot;}],&quot;accessed&quot;:{&quot;date-parts&quot;:[[2026,3,25]]},&quot;URL&quot;:&quot;https://scholar.googleusercontent.com/scholar?q=cache:bzqVWM8VILsJ:scholar.google.com/+Pengaruh+Pengungkapan+Sustainability+Report+terhadap+Profitabilitas+Perusahaan.&amp;hl=id&amp;as_sdt=0,5&quot;,&quot;issued&quot;:{&quot;date-parts&quot;:[[2013]]},&quot;volume&quot;:&quot;1&quot;,&quot;container-title-short&quot;:&quot;&quot;},&quot;isTemporary&quot;:false}]},{&quot;citationID&quot;:&quot;MENDELEY_CITATION_baf409a6-4cad-4770-861a-246b1f4bd228&quot;,&quot;properties&quot;:{&quot;noteIndex&quot;:0},&quot;isEdited&quot;:false,&quot;manualOverride&quot;:{&quot;isManuallyOverridden&quot;:true,&quot;citeprocText&quot;:&quot;(Manurung et al., 2025)&quot;,&quot;manualOverrideText&quot;:&quot;Manurung et al., (2025)&quot;},&quot;citationTag&quot;:&quot;MENDELEY_CITATION_v3_eyJjaXRhdGlvbklEIjoiTUVOREVMRVlfQ0lUQVRJT05fYmFmNDA5YTYtNGNhZC00NzcwLTg2MWEtMjQ2YjFmNGJkMjI4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quot;,&quot;citationItems&quot;:[{&quot;id&quot;:&quot;a4a897c1-eac2-35c1-9a44-0aceebacc55a&quot;,&quot;itemData&quot;:{&quot;type&quot;:&quot;article-journal&quot;,&quot;id&quot;:&quot;a4a897c1-eac2-35c1-9a44-0aceebacc55a&quot;,&quot;title&quot;:&quot;Pengaruh Sustainability Reporting terhadap Nilai Perusahaan: Kajian Literatur Sistematis&quot;,&quot;author&quot;:[{&quot;family&quot;:&quot;Manurung&quot;,&quot;given&quot;:&quot;Amran&quot;,&quot;parse-names&quot;:false,&quot;dropping-particle&quot;:&quot;&quot;,&quot;non-dropping-particle&quot;:&quot;&quot;},{&quot;family&quot;:&quot;Hendriarto&quot;,&quot;given&quot;:&quot;Prasetyono&quot;,&quot;parse-names&quot;:false,&quot;dropping-particle&quot;:&quot;&quot;,&quot;non-dropping-particle&quot;:&quot;&quot;},{&quot;family&quot;:&quot;Sangapan&quot;,&quot;given&quot;:&quot;Lukman Hakim&quot;,&quot;parse-names&quot;:false,&quot;dropping-particle&quot;:&quot;&quot;,&quot;non-dropping-particle&quot;:&quot;&quot;},{&quot;family&quot;:&quot;Manurung&quot;,&quot;given&quot;:&quot;Adler Haymans&quot;,&quot;parse-names&quot;:false,&quot;dropping-particle&quot;:&quot;&quot;,&quot;non-dropping-particle&quot;:&quot;&quot;}],&quot;container-title&quot;:&quot;(JGIA) Jurnal Greenation Ilmu Akuntansi&quot;,&quot;DOI&quot;:&quot;10.38035/jgia.v3i2&quot;,&quot;issued&quot;:{&quot;date-parts&quot;:[[2025]]},&quot;abstract&quot;:&quot;This study aims to analyze the impact of sustainability reporting on firm value through a systematic literature review (SLR) of 48 academic articles published between 2010 and 2024. The review follows the PRISMA guidelines for literature selection and analysis, examining key variables, theoretical frameworks, and the direction of empirical relationships between sustainability reporting and firm value. Findings indicate that 65% of the studies report a positive and significant effect, 19% find no significant relationship, and 16% report a negative effect. Moderating factors such as profitability, firm size, leverage, and audit quality are shown to influence this relationship. Theoretically, the results support the applicability of legitimacy theory, stakeholder theory, and signaling theory as conceptual foundations linking sustainability disclosure transparency to market valuation. This study contributes to the sustainable accounting literature by demonstrating that sustainability reporting functions not merely as a social obligation but also as a strategic economic tool that enhances corporate reputation and competitiveness.&quot;,&quot;issue&quot;:&quot;2&quot;,&quot;volume&quot;:&quot;3&quot;,&quot;container-title-short&quot;:&quot;&quot;},&quot;isTemporary&quot;:false}]},{&quot;citationID&quot;:&quot;MENDELEY_CITATION_6d4bca4d-cf20-4865-afaa-603526f21998&quot;,&quot;properties&quot;:{&quot;noteIndex&quot;:0},&quot;isEdited&quot;:false,&quot;manualOverride&quot;:{&quot;isManuallyOverridden&quot;:false,&quot;citeprocText&quot;:&quot;(Putri, 2021)&quot;,&quot;manualOverrideText&quot;:&quot;&quot;},&quot;citationTag&quot;:&quot;MENDELEY_CITATION_v3_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&quot;,&quot;citationItems&quot;:[{&quot;id&quot;:&quot;6b7437e5-05e3-3057-86e3-9018aaae80ea&quot;,&quot;itemData&quot;:{&quot;type&quot;:&quot;article-journal&quot;,&quot;id&quot;:&quot;6b7437e5-05e3-3057-86e3-9018aaae80ea&quot;,&quot;title&quot;:&quot;Market Value Added sebagai Alat Pengukur Kinerja Perusahaan dan Harga Saham&quot;,&quot;author&quot;:[{&quot;family&quot;:&quot;Putri&quot;,&quot;given&quot;:&quot;Yessi Haidiani&quot;,&quot;parse-names&quot;:false,&quot;dropping-particle&quot;:&quot;&quot;,&quot;non-dropping-particle&quot;:&quot;&quot;}],&quot;container-title&quot;:&quot;Juripol&quot;,&quot;DOI&quot;:&quot;10.33395/juripol.v4i1.11056&quot;,&quot;issued&quot;:{&quot;date-parts&quot;:[[2021]]},&quot;issue&quot;:&quot;1&quot;,&quot;volume&quot;:&quot;4&quot;,&quot;container-title-short&quot;:&quot;&quot;},&quot;isTemporary&quot;:false}]},{&quot;citationID&quot;:&quot;MENDELEY_CITATION_b4b18cc4-618c-44b9-95a4-a0751271b121&quot;,&quot;properties&quot;:{&quot;noteIndex&quot;:0},&quot;isEdited&quot;:false,&quot;manualOverride&quot;:{&quot;isManuallyOverridden&quot;:true,&quot;citeprocText&quot;:&quot;(Brigham &amp;#38; Houston, 2004)&quot;,&quot;manualOverrideText&quot;:&quot;Brigham &amp; Houston, (2004)&quot;},&quot;citationTag&quot;:&quot;MENDELEY_CITATION_v3_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&quot;,&quot;citationItems&quot;:[{&quot;id&quot;:&quot;a8011c5f-be84-3490-bfb6-475f50f5a8ef&quot;,&quot;itemData&quot;:{&quot;type&quot;:&quot;book&quot;,&quot;id&quot;:&quot;a8011c5f-be84-3490-bfb6-475f50f5a8ef&quot;,&quot;title&quot;:&quot;Fundamentals of Financial Management&quot;,&quot;author&quot;:[{&quot;family&quot;:&quot;Brigham&quot;,&quot;given&quot;:&quot;Eugene F..&quot;,&quot;parse-names&quot;:false,&quot;dropping-particle&quot;:&quot;&quot;,&quot;non-dropping-particle&quot;:&quot;&quot;},{&quot;family&quot;:&quot;Houston&quot;,&quot;given&quot;:&quot;Joel F..&quot;,&quot;parse-names&quot;:false,&quot;dropping-particle&quot;:&quot;&quot;,&quot;non-dropping-particle&quot;:&quot;&quot;}],&quot;accessed&quot;:{&quot;date-parts&quot;:[[2026,3,25]]},&quot;ISBN&quot;:&quot;0324319819&quot;,&quot;URL&quot;:&quot;https://scholar.googleusercontent.com/scholar?q=cache:DJsZUGuExcQJ:scholar.google.com/+Fundamentals+of+financial+management.+&amp;hl=id&amp;as_sdt=0,5&quot;,&quot;issued&quot;:{&quot;date-parts&quot;:[[2004]]},&quot;abstract&quot;:&quot;11th ed. Thomson One access code card inserted to provide access to online resources: current and past company data, financial analyst data and forecasts, SEC disclosure statements, etc. An Overview of Financial Management -- Value of Money -- Financial Statements, Cash Flow, and Taxes -- Analysis of Financial Statements -- Financial Markets and Institutions -- Interest Rates -- Bonds and Their Valuation -- Risk and Rates of Return -- Stocks and Their Valuation -- The Cost of Capital -- The Basics of Capital Budgeting -- Cash Flow Estimation and Risk Analysis -- Real Options and Other Topics in Capital Budgeting -- Capital Structure and Leverage -- Distributions to Shareholders: Dividends and Share Repurchases -- Working Capital Management -- Financial Planning and Forecasting -- Derivatives and Risk Management -- Multinational Financial Management -- Hybrid Financing: Preferred Stock, Leasing, Warrants, and Convertibles -- Mergers and Acquisitions.&quot;,&quot;publisher&quot;:&quot;Thomson/South-Western&quot;,&quot;container-title-short&quot;:&quot;&quot;},&quot;isTemporary&quot;:false}]},{&quot;citationID&quot;:&quot;MENDELEY_CITATION_ea346496-8bd3-448d-b38e-1cd0e3fd0e93&quot;,&quot;properties&quot;:{&quot;noteIndex&quot;:0},&quot;isEdited&quot;:false,&quot;manualOverride&quot;:{&quot;isManuallyOverridden&quot;:false,&quot;citeprocText&quot;:&quot;(Suhadi, 2009)&quot;,&quot;manualOverrideText&quot;:&quot;&quot;},&quot;citationTag&quot;:&quot;MENDELEY_CITATION_v3_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&quot;,&quot;citationItems&quot;:[{&quot;id&quot;:&quot;0d798856-e827-3f44-905a-86f228f5ce62&quot;,&quot;itemData&quot;:{&quot;type&quot;:&quot;article-journal&quot;,&quot;id&quot;:&quot;0d798856-e827-3f44-905a-86f228f5ce62&quot;,&quot;title&quot;:&quot;Pengaruh Rasio Aktivitas, Rasio Profitabilitas, Rasio Laverage, dan Rasio Penilaian terhadap Harga Saham Perusahaan Food and Beverage&quot;,&quot;author&quot;:[{&quot;family&quot;:&quot;Suhadi&quot;,&quot;given&quot;:&quot;Dady&quot;,&quot;parse-names&quot;:false,&quot;dropping-particle&quot;:&quot;&quot;,&quot;non-dropping-particle&quot;:&quot;&quot;}],&quot;container-title&quot;:&quot;JURNAL INFORMASI, PERPAJAKAN, AKUNTANSI DAN KEUANGAN PUBLIK&quot;,&quot;accessed&quot;:{&quot;date-parts&quot;:[[2026,3,25]]},&quot;URL&quot;:&quot;https://scholar.googleusercontent.com/scholar?q=cache:VsJ1IBJbdCsJ:scholar.google.com/+PENGARUH+RASIO+AKTIVITAS,+RASIO+PROFITABILITAS,+RASIO+LAVERAGE,+DAN+RASIO+PENILAIAN+TERHADAP+HARGA+SAHAM+PERUSAHAAN+FOOD+AND+BEVERAGE&amp;hl=id&amp;as_sdt=0,5&quot;,&quot;issued&quot;:{&quot;date-parts&quot;:[[2009,1]]},&quot;page&quot;:&quot;17-35&quot;,&quot;abstract&quot;:&quot;This research is aimed at finding out how the activity ratio, profitability ratio, leverage ratio and evaluation ratio against the stock price of food and beverage manufacture industry. The research design used is correlation research in order to see the influence of the independent variable against the dependent variable with data structure using data pooling which combines data cross sections (20 food and beverage manufacture industries) and time series (2000 2005 period). Double regression method is used to answer research hypothesis by doing several tests i.e. normality test, classic assumption test (multicollinearity, autocorrelation, heterrocsedacity) and theory hypothesis test (R2 Test, Simultaneous Test, and Individual Test). The result of this analysis shows that activity ratio (inventory turnover, assets turnover) and leverage ratio (debt to equity ratio, debt to assets ratio) significantly influences the stock price of food and beverage manufacture industry, while profitability ratio (ROA) and enterprise assessment ratio (EPS and PBV) do not significantly influence the food and beverage manufacture industry.&quot;,&quot;issue&quot;:&quot;1&quot;,&quot;volume&quot;:&quot;4&quot;,&quot;container-title-short&quot;:&quot;&quot;},&quot;isTemporary&quot;:false}]},{&quot;citationID&quot;:&quot;MENDELEY_CITATION_0460ad0a-0a8f-4a88-bc33-519ab929585b&quot;,&quot;properties&quot;:{&quot;noteIndex&quot;:0},&quot;isEdited&quot;:false,&quot;manualOverride&quot;:{&quot;isManuallyOverridden&quot;:false,&quot;citeprocText&quot;:&quot;(Sukma, 2021)&quot;,&quot;manualOverrideText&quot;:&quot;&quot;},&quot;citationTag&quot;:&quot;MENDELEY_CITATION_v3_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&quot;,&quot;citationItems&quot;:[{&quot;id&quot;:&quot;e3987131-dae2-3c26-8d38-584302a45dcb&quot;,&quot;itemData&quot;:{&quot;type&quot;:&quot;article-journal&quot;,&quot;id&quot;:&quot;e3987131-dae2-3c26-8d38-584302a45dcb&quot;,&quot;title&quot;:&quot;Peran Firm Size, Current Ratio, Debt to Asset Ratio, dan Return on Equity terhadap Price to Book Value terhadap Perusahaan Telekomunikasi yang terdaftar di Bursa Efek Indonesia Periode 2014-2020&quot;,&quot;author&quot;:[{&quot;family&quot;:&quot;Sukma&quot;,&quot;given&quot;:&quot;Fitri Melati&quot;,&quot;parse-names&quot;:false,&quot;dropping-particle&quot;:&quot;&quot;,&quot;non-dropping-particle&quot;:&quot;&quot;}],&quot;container-title&quot;:&quot;Improvement: Jurnal Manajemen Dan Bisnis&quot;,&quot;DOI&quot;:&quot;https://doi.org/10.30651/imp.v1i1.9528&quot;,&quot;URL&quot;:&quot;www.idx.co.id.&quot;,&quot;issued&quot;:{&quot;date-parts&quot;:[[2021]]},&quot;issue&quot;:&quot;1&quot;,&quot;volume&quot;:&quot;1&quot;,&quot;container-title-short&quot;:&quot;&quot;},&quot;isTemporary&quot;:false}]},{&quot;citationID&quot;:&quot;MENDELEY_CITATION_9c351aa6-faa8-44c7-a5ee-768c2067d663&quot;,&quot;properties&quot;:{&quot;noteIndex&quot;:0},&quot;isEdited&quot;:false,&quot;manualOverride&quot;:{&quot;isManuallyOverridden&quot;:true,&quot;citeprocText&quot;:&quot;(Riahman Damanik &amp;#38; Purnamasari, 2022)&quot;,&quot;manualOverrideText&quot;:&quot;Riahman Damanik &amp; Purnamasari, (2022)&quot;},&quot;citationTag&quot;:&quot;MENDELEY_CITATION_v3_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&quot;,&quot;citationItems&quot;:[{&quot;id&quot;:&quot;51e3495a-4caa-39d0-92f5-a140c0dd803b&quot;,&quot;itemData&quot;:{&quot;type&quot;:&quot;article-journal&quot;,&quot;id&quot;:&quot;51e3495a-4caa-39d0-92f5-a140c0dd803b&quot;,&quot;title&quot;:&quot;Pengaruh Proporsi Dewan Komisaris Independen dan Komite Audit terhadap Kinerja Keuangan Perusahaan (Studi terhadap Perusahaan Makanan dan Minuman yang Terdaftar di BEI Periode 2017-2021)&quot;,&quot;author&quot;:[{&quot;family&quot;:&quot;Riahman Damanik&quot;,&quot;given&quot;:&quot;Erdy&quot;,&quot;parse-names&quot;:false,&quot;dropping-particle&quot;:&quot;&quot;,&quot;non-dropping-particle&quot;:&quot;&quot;},{&quot;family&quot;:&quot;Purnamasari&quot;,&quot;given&quot;:&quot;Atika&quot;,&quot;parse-names&quot;:false,&quot;dropping-particle&quot;:&quot;&quot;,&quot;non-dropping-particle&quot;:&quot;&quot;}],&quot;container-title&quot;:&quot;JOURNAL INTELEKTUAL&quot;,&quot;accessed&quot;:{&quot;date-parts&quot;:[[2026,3,25]]},&quot;URL&quot;:&quot;https://scholar.googleusercontent.com/scholar?q=cache:audWrWq8tsgJ:scholar.google.com/+Pengaruh+Proporsi+Dewan+Komisaris+Independen+dan+Komite+Audit+terhadap+Kinerja+Keuangan+Perusahaan+(Studi+terhadap+Perusahaan+Makanan+dan+Minuman+yang+Terdaftar+di+BEI+Periode+2017-2021).&amp;hl=id&amp;as_sdt=0,5&quot;,&quot;issued&quot;:{&quot;date-parts&quot;:[[2022]]},&quot;page&quot;:&quot;23-34&quot;,&quot;issue&quot;:&quot;1&quot;,&quot;volume&quot;:&quot;1&quot;,&quot;container-title-short&quot;:&quot;&quot;},&quot;isTemporary&quot;:false}]},{&quot;citationID&quot;:&quot;MENDELEY_CITATION_d16bcae5-6667-4f97-84bf-8cf15702454e&quot;,&quot;properties&quot;:{&quot;noteIndex&quot;:0},&quot;isEdited&quot;:false,&quot;manualOverride&quot;:{&quot;isManuallyOverridden&quot;:false,&quot;citeprocText&quot;:&quot;(Riahman Damanik &amp;#38; Purnamasari, 2022)&quot;,&quot;manualOverrideText&quot;:&quot;&quot;},&quot;citationTag&quot;:&quot;MENDELEY_CITATION_v3_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&quot;,&quot;citationItems&quot;:[{&quot;id&quot;:&quot;51e3495a-4caa-39d0-92f5-a140c0dd803b&quot;,&quot;itemData&quot;:{&quot;type&quot;:&quot;article-journal&quot;,&quot;id&quot;:&quot;51e3495a-4caa-39d0-92f5-a140c0dd803b&quot;,&quot;title&quot;:&quot;Pengaruh Proporsi Dewan Komisaris Independen dan Komite Audit terhadap Kinerja Keuangan Perusahaan (Studi terhadap Perusahaan Makanan dan Minuman yang Terdaftar di BEI Periode 2017-2021)&quot;,&quot;author&quot;:[{&quot;family&quot;:&quot;Riahman Damanik&quot;,&quot;given&quot;:&quot;Erdy&quot;,&quot;parse-names&quot;:false,&quot;dropping-particle&quot;:&quot;&quot;,&quot;non-dropping-particle&quot;:&quot;&quot;},{&quot;family&quot;:&quot;Purnamasari&quot;,&quot;given&quot;:&quot;Atika&quot;,&quot;parse-names&quot;:false,&quot;dropping-particle&quot;:&quot;&quot;,&quot;non-dropping-particle&quot;:&quot;&quot;}],&quot;container-title&quot;:&quot;JOURNAL INTELEKTUAL&quot;,&quot;accessed&quot;:{&quot;date-parts&quot;:[[2026,3,25]]},&quot;URL&quot;:&quot;https://scholar.googleusercontent.com/scholar?q=cache:audWrWq8tsgJ:scholar.google.com/+Pengaruh+Proporsi+Dewan+Komisaris+Independen+dan+Komite+Audit+terhadap+Kinerja+Keuangan+Perusahaan+(Studi+terhadap+Perusahaan+Makanan+dan+Minuman+yang+Terdaftar+di+BEI+Periode+2017-2021).&amp;hl=id&amp;as_sdt=0,5&quot;,&quot;issued&quot;:{&quot;date-parts&quot;:[[2022]]},&quot;page&quot;:&quot;23-34&quot;,&quot;issue&quot;:&quot;1&quot;,&quot;volume&quot;:&quot;1&quot;,&quot;container-title-short&quot;:&quot;&quot;},&quot;isTemporary&quot;:false}]},{&quot;citationID&quot;:&quot;MENDELEY_CITATION_98255782-8bf9-4641-b54a-e6e46c8c544b&quot;,&quot;properties&quot;:{&quot;noteIndex&quot;:0},&quot;isEdited&quot;:false,&quot;manualOverride&quot;:{&quot;isManuallyOverridden&quot;:true,&quot;citeprocText&quot;:&quot;(N. P. Amalia &amp;#38; Suryono, 2016)&quot;,&quot;manualOverrideText&quot;:&quot;Amalia &amp; Suryono, (2016)&quot;},&quot;citationTag&quot;:&quot;MENDELEY_CITATION_v3_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&quot;,&quot;citationItems&quot;:[{&quot;id&quot;:&quot;cbd71d7a-4241-3ec4-9734-c8a1f3e6d0b9&quot;,&quot;itemData&quot;:{&quot;type&quot;:&quot;article-journal&quot;,&quot;id&quot;:&quot;cbd71d7a-4241-3ec4-9734-c8a1f3e6d0b9&quot;,&quot;title&quot;:&quot;Efektivitas Komite Audit Dalam Sudut Pandang Auditor Internal&quot;,&quot;author&quot;:[{&quot;family&quot;:&quot;Amalia&quot;,&quot;given&quot;:&quot;Nofa Prima&quot;,&quot;parse-names&quot;:false,&quot;dropping-particle&quot;:&quot;&quot;,&quot;non-dropping-particle&quot;:&quot;&quot;},{&quot;family&quot;:&quot;Suryono&quot;,&quot;given&quot;:&quot;Bambang&quot;,&quot;parse-names&quot;:false,&quot;dropping-particle&quot;:&quot;&quot;,&quot;non-dropping-particle&quot;:&quot;&quot;}],&quot;container-title&quot;:&quot;Jurnal Ilmu dan Riset Akuntansi&quot;,&quot;accessed&quot;:{&quot;date-parts&quot;:[[2026,3,25]]},&quot;URL&quot;:&quot;https://scholar.googleusercontent.com/scholar?q=cache:4Al31KQwg5QJ:scholar.google.com/+EFEKTIVITAS+KOMITE+AUDIT+DALAM+SUDUT+PANDANG+AUDITOR+INTERNAL&amp;hl=id&amp;as_sdt=0,5&quot;,&quot;issued&quot;:{&quot;date-parts&quot;:[[2016,1]]},&quot;abstract&quot;:&quot;The purpose of this research is to find out the responsibility and the characteristic of audit comittee which has function to improve the effectiveness of the role of audit committee in the perspective of internal auditor. The object of the research is PT Pelabuhan Indonesia III (Persero). This research is qualitative research which uses the primary data inthe form of interview with the informant i.e. the internal auditor and the secondary data is the 2014 documents i.e.: The annual financial statement, the internal audit charter, the decree of dismissal and appointment of the member of the audit committee. The data analysis technique is qualitative descriptive, which is done by collecting, processing and presenting the obtained data so it is easy to be understood. The result of this resarch shows that the role and the responsibility of the audit committee of PT Pelabuhan Indonesia III (Persero) to the financial statement, internal control, internal audit, external audit and the management can be seen from the internal auditor which has been running effectively. The audit committee of PT Pelabuhan Indonesia III (Persero) also has fulfilled the characteristic in the form of strong leadership, independence, competence, meeting, and communication which has function to increase the effectiveness of audit committee. The internal auditor said that the audit committee is very helpful and it has been expected that it will provide input to the related parties to improve the quality of the company.&quot;,&quot;issue&quot;:&quot;1&quot;,&quot;volume&quot;:&quot;5&quot;,&quot;container-title-short&quot;:&quot;&quot;},&quot;isTemporary&quot;:false}]},{&quot;citationID&quot;:&quot;MENDELEY_CITATION_67441fda-9b4c-4bbb-a025-1fdea78f3c04&quot;,&quot;properties&quot;:{&quot;noteIndex&quot;:0},&quot;isEdited&quot;:false,&quot;manualOverride&quot;:{&quot;isManuallyOverridden&quot;:false,&quot;citeprocText&quot;:&quot;(Liyanto &amp;#38; Anam, 2019)&quot;,&quot;manualOverrideText&quot;:&quot;&quot;},&quot;citationTag&quot;:&quot;MENDELEY_CITATION_v3_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&quot;,&quot;citationItems&quot;:[{&quot;id&quot;:&quot;25d082e8-3ade-3818-99f5-5cbafa2f40d2&quot;,&quot;itemData&quot;:{&quot;type&quot;:&quot;article-journal&quot;,&quot;id&quot;:&quot;25d082e8-3ade-3818-99f5-5cbafa2f40d2&quot;,&quot;title&quot;:&quot;Proporsi Komisaris Independen, Dewan Komisaris, Kompetensi Komite Audit, Frekuensi Rapat Komite Audit terhadap Konservatisme Akuntansi&quot;,&quot;author&quot;:[{&quot;family&quot;:&quot;Liyanto&quot;,&quot;given&quot;:&quot;LW&quot;,&quot;parse-names&quot;:false,&quot;dropping-particle&quot;:&quot;&quot;,&quot;non-dropping-particle&quot;:&quot;&quot;},{&quot;family&quot;:&quot;Anam&quot;,&quot;given&quot;:&quot;Hairul&quot;,&quot;parse-names&quot;:false,&quot;dropping-particle&quot;:&quot;&quot;,&quot;non-dropping-particle&quot;:&quot;&quot;}],&quot;container-title&quot;:&quot;Jurnal GeoEkonomi&quot;,&quot;DOI&quot;:&quot;https://doi.org/10.36277/geoekonomi.v10i1.53&quot;,&quot;URL&quot;:&quot;http://jurnal.fem.uniba-bpn.ac.id/index.php/geoekonomi&quot;,&quot;issued&quot;:{&quot;date-parts&quot;:[[2019]]},&quot;page&quot;:&quot;2086-1117&quot;,&quot;issue&quot;:&quot;1&quot;,&quot;volume&quot;:&quot;10&quot;,&quot;container-title-short&quot;:&quot;&quot;},&quot;isTemporary&quot;:false}]},{&quot;citationID&quot;:&quot;MENDELEY_CITATION_e881b23c-bd1c-400b-9a73-cd18a7df84e7&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&quot;,&quot;citationItems&quot;:[{&quot;id&quot;:&quot;16782404-2344-3e41-b85a-dd393488c3dd&quot;,&quot;itemData&quot;:{&quot;type&quot;:&quot;article-journal&quot;,&quot;id&quot;:&quot;16782404-2344-3e41-b85a-dd393488c3dd&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container-title&quot;:&quot;Jurnal Ilmu dan Riset Akuntansi&quot;,&quot;accessed&quot;:{&quot;date-parts&quot;:[[2026,3,25]]},&quot;URL&quot;:&quot;https://jurnalmahasiswa.stiesia.ac.id/index.php/jira/article/view/5137&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issue&quot;:&quot;3&quot;,&quot;volume&quot;:&quot;12&quot;,&quot;container-title-short&quot;:&quot;&quot;},&quot;isTemporary&quot;:false}]},{&quot;citationID&quot;:&quot;MENDELEY_CITATION_d450142d-4b6a-490e-9a80-9673b3ad6f5c&quot;,&quot;properties&quot;:{&quot;noteIndex&quot;:0},&quot;isEdited&quot;:false,&quot;manualOverride&quot;:{&quot;isManuallyOverridden&quot;:true,&quot;citeprocText&quot;:&quot;(Xie et al., 2003)&quot;,&quot;manualOverrideText&quot;:&quot;Xie et al., (2003)&quot;},&quot;citationTag&quot;:&quot;MENDELEY_CITATION_v3_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&quot;,&quot;citationItems&quot;:[{&quot;id&quot;:&quot;6b35383e-ec6c-3d3d-9fb9-fa45322699e8&quot;,&quot;itemData&quot;:{&quot;type&quot;:&quot;article-journal&quot;,&quot;id&quot;:&quot;6b35383e-ec6c-3d3d-9fb9-fa45322699e8&quot;,&quot;title&quot;:&quot;Earning Management and Corporate Governance: The Roles of the Board and the Audit Committee&quot;,&quot;author&quot;:[{&quot;family&quot;:&quot;Xie&quot;,&quot;given&quot;:&quot;Biao&quot;,&quot;parse-names&quot;:false,&quot;dropping-particle&quot;:&quot;&quot;,&quot;non-dropping-particle&quot;:&quot;&quot;},{&quot;family&quot;:&quot;Davidson&quot;,&quot;given&quot;:&quot;Wallace N&quot;,&quot;parse-names&quot;:false,&quot;dropping-particle&quot;:&quot;&quot;,&quot;non-dropping-particle&quot;:&quot;&quot;},{&quot;family&quot;:&quot;Dadalt&quot;,&quot;given&quot;:&quot;Peter J&quot;,&quot;parse-names&quot;:false,&quot;dropping-particle&quot;:&quot;&quot;,&quot;non-dropping-particle&quot;:&quot;&quot;},{&quot;family&quot;:&quot;Robinson&quot;,&quot;given&quot;:&quot;J Mack&quot;,&quot;parse-names&quot;:false,&quot;dropping-particle&quot;:&quot;&quot;,&quot;non-dropping-particle&quot;:&quot;&quot;}],&quot;container-title&quot;:&quot;Journal of Corporate Finance&quot;,&quot;DOI&quot;:&quot;https://doi.org/10.1016/S0929-1199(02)00006-8&quot;,&quot;issued&quot;:{&quot;date-parts&quot;:[[2003,6]]},&quot;page&quot;:&quot;295-316&quot;,&quot;abstract&quot;:&quot;Earnings Management and Corporate Governance: The Role of the Board and the Audit Committee (Abstract) We examine the role of the board of directors, the audit committee, and the executive committee in preventing earnings management. Supporting an SEC Panel Report's conclusion that audit committee members need financial sophistication, we show that the composition of a board in general and of an audit committee more specifically, is related to the likelihood that a firm will engage in earnings management. Board and audit committee members with corporate or financial backgrounds are associated with firms that ha ve smaller discretionary current accruals. Board and audit committee meeting frequency is also associated with reduced levels of discretionary current accruals. We conclude that board and audit committee activity and their members' financial sophistication may be important factors in constraining the propensity of managers to engage in earnings management. 3 Earnings Management and Corporate Governance: The Role of the Board and the Audit Committee&quot;,&quot;issue&quot;:&quot;3&quot;,&quot;volume&quot;:&quot;9&quot;,&quot;container-title-short&quot;:&quot;&quot;},&quot;isTemporary&quot;:false}]},{&quot;citationID&quot;:&quot;MENDELEY_CITATION_ec0bcabe-c194-4113-b236-bcb4afa025d6&quot;,&quot;properties&quot;:{&quot;noteIndex&quot;:0},&quot;isEdited&quot;:false,&quot;manualOverride&quot;:{&quot;isManuallyOverridden&quot;:false,&quot;citeprocText&quot;:&quot;(Choiroh, 2024)&quot;,&quot;manualOverrideText&quot;:&quot;&quot;},&quot;citationTag&quot;:&quot;MENDELEY_CITATION_v3_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&quot;,&quot;citationItems&quot;:[{&quot;id&quot;:&quot;69635542-c9df-306a-b3c4-4090ca328dbb&quot;,&quot;itemData&quot;:{&quot;type&quot;:&quot;article-journal&quot;,&quot;id&quot;:&quot;69635542-c9df-306a-b3c4-4090ca328dbb&quot;,&quot;title&quot;:&quot;Pengaruh Investment Opportunity Set, Insider Ownership dan Firm Size terhadap Nilai Perusahaan (Studi pada Perusahaan yang Terdaftar di Jakarta Islamic Index Tahun 2017-2021)&quot;,&quot;author&quot;:[{&quot;family&quot;:&quot;Choiroh&quot;,&quot;given&quot;:&quot;Istianatul&quot;,&quot;parse-names&quot;:false,&quot;dropping-particle&quot;:&quot;&quot;,&quot;non-dropping-particle&quot;:&quot;&quot;}],&quot;accessed&quot;:{&quot;date-parts&quot;:[[2026,3,25]]},&quot;URL&quot;:&quot;https://repository.radenintan.ac.id/id/eprint/34101&quot;,&quot;issued&quot;:{&quot;date-parts&quot;:[[2024]]},&quot;container-title-short&quot;:&quot;&quot;},&quot;isTemporary&quot;:false}]},{&quot;citationID&quot;:&quot;MENDELEY_CITATION_205ff627-a4b0-47d1-bc33-bcd0c03f80ec&quot;,&quot;properties&quot;:{&quot;noteIndex&quot;:0},&quot;isEdited&quot;:false,&quot;manualOverride&quot;:{&quot;isManuallyOverridden&quot;:true,&quot;citeprocText&quot;:&quot;(Wibowo, 2020)&quot;,&quot;manualOverrideText&quot;:&quot;Wibowo, (2020)&quot;},&quot;citationTag&quot;:&quot;MENDELEY_CITATION_v3_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&quot;,&quot;citationItems&quot;:[{&quot;id&quot;:&quot;cf0eac52-074c-3e34-9e5e-a49b94574812&quot;,&quot;itemData&quot;:{&quot;type&quot;:&quot;thesis&quot;,&quot;id&quot;:&quot;cf0eac52-074c-3e34-9e5e-a49b94574812&quot;,&quot;title&quot;:&quot;Pengaruh Pengungkapan Sustainability Report terhadap\nNilai Perusahaan pada Perusahaan Yang Terdaftar di Indeks Saham Sri-Kehati Periode 2017-2019&quot;,&quot;author&quot;:[{&quot;family&quot;:&quot;Wibowo&quot;,&quot;given&quot;:&quot;Lellyana Kristianti&quot;,&quot;parse-names&quot;:false,&quot;dropping-particle&quot;:&quot;&quot;,&quot;non-dropping-particle&quot;:&quot;&quot;}],&quot;accessed&quot;:{&quot;date-parts&quot;:[[2026,3,25]]},&quot;ISSN&quot;:&quot;2017-2019&quot;,&quot;URL&quot;:&quot;https://scholar.googleusercontent.com/scholar?q=cache:kt_BWnovv5EJ:scholar.google.com/+PENGARUH+PENGUNGKAPAN+SUSTAINABILITY+REPORT+TERHADAP+NILAI+PERUSAHAAN+PADA+PERUSAHAAN+YANG+TERDAFTAR+DI+INDEKS+SAHAM+SRI-KEHATI+PERIODE+2017-2019&amp;hl=id&amp;as_sdt=0,5&quot;,&quot;issued&quot;:{&quot;date-parts&quot;:[[2020]]},&quot;publisher-place&quot;:&quot;Yogyakarta&quot;,&quot;container-title-short&quot;:&quot;&quot;},&quot;isTemporary&quot;:false}]},{&quot;citationID&quot;:&quot;MENDELEY_CITATION_b724469b-a02e-46e1-b3c4-2fa398be5aeb&quot;,&quot;properties&quot;:{&quot;noteIndex&quot;:0},&quot;isEdited&quot;:false,&quot;manualOverride&quot;:{&quot;isManuallyOverridden&quot;:false,&quot;citeprocText&quot;:&quot;(Shamaya et al., 2024)&quot;,&quot;manualOverrideText&quot;:&quot;&quot;},&quot;citationTag&quot;:&quot;MENDELEY_CITATION_v3_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&quot;,&quot;citationItems&quot;:[{&quot;id&quot;:&quot;7cc51ca5-57fc-3909-aa8b-31a2c96c9935&quot;,&quot;itemData&quot;:{&quot;type&quot;:&quot;article-journal&quot;,&quot;id&quot;:&quot;7cc51ca5-57fc-3909-aa8b-31a2c96c9935&quot;,&quot;title&quot;:&quot;Keterlibatan Pemangku Kepentingan dalam Laporan Keberlanjutan PT Pertamina Berbasis GRI Standar 2021&quot;,&quot;author&quot;:[{&quot;family&quot;:&quot;Shamaya&quot;,&quot;given&quot;:&quot;Veren Putri&quot;,&quot;parse-names&quot;:false,&quot;dropping-particle&quot;:&quot;&quot;,&quot;non-dropping-particle&quot;:&quot;&quot;},{&quot;family&quot;:&quot;Alhabsyi&quot;,&quot;given&quot;:&quot;Amru Karim&quot;,&quot;parse-names&quot;:false,&quot;dropping-particle&quot;:&quot;&quot;,&quot;non-dropping-particle&quot;:&quot;&quot;},{&quot;family&quot;:&quot;Pandin&quot;,&quot;given&quot;:&quot;Maria Yovita R&quot;,&quot;parse-names&quot;:false,&quot;dropping-particle&quot;:&quot;&quot;,&quot;non-dropping-particle&quot;:&quot;&quot;}],&quot;container-title&quot;:&quot;Jurnal Penelitian Ekonomi Akuntansi (JENSI)&quot;,&quot;DOI&quot;:&quot;https://doi.org/10.33059/jensi.v8i2.10657&quot;,&quot;ISSN&quot;:&quot;2615-1227&quot;,&quot;issued&quot;:{&quot;date-parts&quot;:[[2024]]},&quot;issue&quot;:&quot;2&quot;,&quot;volume&quot;:&quot;8&quot;,&quot;container-title-short&quot;:&quot;&quot;},&quot;isTemporary&quot;:false}]},{&quot;citationID&quot;:&quot;MENDELEY_CITATION_7f8baf78-e095-4a67-a887-c36fcbd60c2f&quot;,&quot;properties&quot;:{&quot;noteIndex&quot;:0},&quot;isEdited&quot;:false,&quot;manualOverride&quot;:{&quot;isManuallyOverridden&quot;:false,&quot;citeprocText&quot;:&quot;(Alfara &amp;#38; Kuntadi, 2024)&quot;,&quot;manualOverrideText&quot;:&quot;&quot;},&quot;citationTag&quot;:&quot;MENDELEY_CITATION_v3_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&quot;,&quot;citationItems&quot;:[{&quot;id&quot;:&quot;71a20326-4ab4-3118-a471-7b1534ffa09d&quot;,&quot;itemData&quot;:{&quot;type&quot;:&quot;article-journal&quot;,&quot;id&quot;:&quot;71a20326-4ab4-3118-a471-7b1534ffa09d&quot;,&quot;title&quot;:&quot;Jurnal Manajemen, Akuntansi dan Logistik Determinasi Kualitas Pengungkapan Sustainability Report&quot;,&quot;author&quot;:[{&quot;family&quot;:&quot;Alfara&quot;,&quot;given&quot;:&quot;Dicky Maiza&quot;,&quot;parse-names&quot;:false,&quot;dropping-particle&quot;:&quot;&quot;,&quot;non-dropping-particle&quot;:&quot;&quot;},{&quot;family&quot;:&quot;Kuntadi&quot;,&quot;given&quot;:&quot;Cris&quot;,&quot;parse-names&quot;:false,&quot;dropping-particle&quot;:&quot;&quot;,&quot;non-dropping-particle&quot;:&quot;&quot;}],&quot;container-title&quot;:&quot;Jurnal Manajemen, Akuntansi, dan Logistik&quot;,&quot;accessed&quot;:{&quot;date-parts&quot;:[[2026,3,25]]},&quot;URL&quot;:&quot;https://ciptakind-publisher.com/jumati/index.php/ojs/article/view/220&quot;,&quot;issued&quot;:{&quot;date-parts&quot;:[[2024,10,17]]},&quot;issue&quot;:&quot;3&quot;,&quot;volume&quot;:&quot;2&quot;,&quot;container-title-short&quot;:&quot;&quot;},&quot;isTemporary&quot;:false}]},{&quot;citationID&quot;:&quot;MENDELEY_CITATION_fa04af92-1c41-4f19-af90-2301ca7d2b0e&quot;,&quot;properties&quot;:{&quot;noteIndex&quot;:0},&quot;isEdited&quot;:false,&quot;manualOverride&quot;:{&quot;isManuallyOverridden&quot;:true,&quot;citeprocText&quot;:&quot;(Sìmnett et al., 2009)&quot;,&quot;manualOverrideText&quot;:&quot;Sìmnett et al., (2009)&quot;},&quot;citationTag&quot;:&quot;MENDELEY_CITATION_v3_eyJjaXRhdGlvbklEIjoiTUVOREVMRVlfQ0lUQVRJT05fZmEwNGFmOTItMWM0MS00ZjE5LWFmOTAtMjMwMWNhN2QyYjBl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quot;,&quot;citationItems&quot;:[{&quot;id&quot;:&quot;d6f9a466-9c0a-355a-8f78-c16ec163c90a&quot;,&quot;itemData&quot;:{&quot;type&quot;:&quot;article-journal&quot;,&quot;id&quot;:&quot;d6f9a466-9c0a-355a-8f78-c16ec163c90a&quot;,&quot;title&quot;:&quot;Assurance on Sustainability Reports: An International Comparison&quot;,&quot;author&quot;:[{&quot;family&quot;:&quot;Sìmnett&quot;,&quot;given&quot;:&quot;Roger&quot;,&quot;parse-names&quot;:false,&quot;dropping-particle&quot;:&quot;&quot;,&quot;non-dropping-particle&quot;:&quot;&quot;},{&quot;family&quot;:&quot;Vanstraelen&quot;,&quot;given&quot;:&quot;Ann&quot;,&quot;parse-names&quot;:false,&quot;dropping-particle&quot;:&quot;&quot;,&quot;non-dropping-particle&quot;:&quot;&quot;},{&quot;family&quot;:&quot;Chua&quot;,&quot;given&quot;:&quot;Wai Fong&quot;,&quot;parse-names&quot;:false,&quot;dropping-particle&quot;:&quot;&quot;,&quot;non-dropping-particle&quot;:&quot;&quot;}],&quot;container-title&quot;:&quot;Accounting Review&quot;,&quot;DOI&quot;:&quot;10.2308/accr.2009.84.3.937&quot;,&quot;ISSN&quot;:&quot;00014826&quot;,&quot;issued&quot;:{&quot;date-parts&quot;:[[2009,5]]},&quot;page&quot;:&quot;937-967&quot;,&quot;abstract&quot;:&quot;Globally, companies increasingly publish separate general purpose, non-financial (sustainability) reports. Some of these are independently assured and assurers may or may not be from the auditing profession. We seek to understand this emerging voluntary assurance market. Using a sample of 2,113 companies (from 31 countries) that produced sustainability reports between 2002-2004, we use sequential logit analysis to identify the factors associated with the decision to voluntarily purchase assurance and the choice of assurance provider. We hypothesize that a company's need to enhance credibility through assurance and choice of assurance provider will be a function of company-, industry-, and country-related factors. Our results support the argument that companies seeking to enhance the credibility of their reports and build their corporate reputation are more likely to have their sustainability reports assured, although it does not matter whether the assurance provider comes from the auditing profession. We also find that companies operating in stakeholder-orientated countries are more likely to choose the auditing profession as an assurer.&quot;,&quot;issue&quot;:&quot;3&quot;,&quot;volume&quot;:&quot;84&quot;,&quot;container-title-short&quot;:&quot;&quot;},&quot;isTemporary&quot;:false}]},{&quot;citationID&quot;:&quot;MENDELEY_CITATION_6866d02c-d478-4671-b433-c233543472d7&quot;,&quot;properties&quot;:{&quot;noteIndex&quot;:0},&quot;isEdited&quot;:false,&quot;manualOverride&quot;:{&quot;isManuallyOverridden&quot;:true,&quot;citeprocText&quot;:&quot;(Murdianingsih et al., 2022)&quot;,&quot;manualOverrideText&quot;:&quot;Murdianingsih et al., (2022)&quot;},&quot;citationTag&quot;:&quot;MENDELEY_CITATION_v3_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&quot;,&quot;citationItems&quot;:[{&quot;id&quot;:&quot;7f945ed0-7108-3174-b1d5-2e20335eb759&quot;,&quot;itemData&quot;:{&quot;type&quot;:&quot;article-journal&quot;,&quot;id&quot;:&quot;7f945ed0-7108-3174-b1d5-2e20335eb759&quot;,&quot;title&quot;:&quot;Effect of Good Corporate Governance and Sustainability Reporting to the Integrated Reporting Moderation Firm Size&quot;,&quot;author&quot;:[{&quot;family&quot;:&quot;Murdianingsih&quot;,&quot;given&quot;:&quot;Dian&quot;,&quot;parse-names&quot;:false,&quot;dropping-particle&quot;:&quot;&quot;,&quot;non-dropping-particle&quot;:&quot;&quot;},{&quot;family&quot;:&quot;Prayogi&quot;,&quot;given&quot;:&quot;Agung&quot;,&quot;parse-names&quot;:false,&quot;dropping-particle&quot;:&quot;&quot;,&quot;non-dropping-particle&quot;:&quot;&quot;},{&quot;family&quot;:&quot;Handayani&quot;,&quot;given&quot;:&quot;Tri&quot;,&quot;parse-names&quot;:false,&quot;dropping-particle&quot;:&quot;&quot;,&quot;non-dropping-particle&quot;:&quot;&quot;}],&quot;container-title&quot;:&quot;Fokus Bisnis Media Pengkajian Manajemen dan Akuntansi&quot;,&quot;DOI&quot;:&quot;10.32639/fokbis.v21i1.75&quot;,&quot;ISSN&quot;:&quot;1693-5209&quot;,&quot;issued&quot;:{&quot;date-parts&quot;:[[2022,7,12]]},&quot;page&quot;:&quot;113-123&quot;,&quot;abstract&quot;:&quot;The aim of this research is. Analyzing the impact of good governance and its occurrence on integrated reporting with company size as a moderate variable. The research was conducted on mining companies. the period 2019-2021. The research sample was obtained as many as 44 companies with purposive sampling method. The data analysis technique used multiple linear regression, Moderated Regression Analysis. The results of data analysis found that independent commissioner reporting and sustainability had no effect on integrated reporting, and Firm Size is able to moderate the relationship between Good Governance and Sustainability Reporting on integrated reporting. Based on the research results, investors can consider and pay attention to the presence of the audit committee as an internal company before investing.&quot;,&quot;publisher&quot;:&quot;P4M STIE Putra Bangsa&quot;,&quot;issue&quot;:&quot;1&quot;,&quot;volume&quot;:&quot;21&quot;,&quot;container-title-short&quot;:&quot;&quot;},&quot;isTemporary&quot;:false}]},{&quot;citationID&quot;:&quot;MENDELEY_CITATION_6d497ca9-3be0-4d7c-b842-419356b517b8&quot;,&quot;properties&quot;:{&quot;noteIndex&quot;:0},&quot;isEdited&quot;:false,&quot;manualOverride&quot;:{&quot;isManuallyOverridden&quot;:false,&quot;citeprocText&quot;:&quot;(Safitri et al., 2025)&quot;,&quot;manualOverrideText&quot;:&quot;&quot;},&quot;citationTag&quot;:&quot;MENDELEY_CITATION_v3_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&quot;,&quot;citationItems&quot;:[{&quot;id&quot;:&quot;cd8ce10c-73be-3119-a62d-7204a7fcecd5&quot;,&quot;itemData&quot;:{&quot;type&quot;:&quot;article-journal&quot;,&quot;id&quot;:&quot;cd8ce10c-73be-3119-a62d-7204a7fcecd5&quot;,&quot;title&quot;:&quot;Audit Readiness Atas Laporan Keberlanjutan: Tantangan Baru Bagi Auditor di Era ESG Disclosure&quot;,&quot;author&quot;:[{&quot;family&quot;:&quot;Safitri&quot;,&quot;given&quot;:&quot;Hana&quot;,&quot;parse-names&quot;:false,&quot;dropping-particle&quot;:&quot;&quot;,&quot;non-dropping-particle&quot;:&quot;&quot;},{&quot;family&quot;:&quot;Arba&quot;,&quot;given&quot;:&quot;Ivan&quot;,&quot;parse-names&quot;:false,&quot;dropping-particle&quot;:&quot;&quot;,&quot;non-dropping-particle&quot;:&quot;&quot;},{&quot;family&quot;:&quot;Wahyuni&quot;,&quot;given&quot;:&quot;&quot;,&quot;parse-names&quot;:false,&quot;dropping-particle&quot;:&quot;&quot;,&quot;non-dropping-particle&quot;:&quot;&quot;}],&quot;container-title&quot;:&quot;Neraca Manajemen, Ekonomi&quot;,&quot;DOI&quot;:&quot;https://doi.org/10.2324/vqg2y998&quot;,&quot;ISSN&quot;:&quot;3025-9495&quot;,&quot;issued&quot;:{&quot;date-parts&quot;:[[2025]]},&quot;abstract&quot;:&quot;Abstrak Perkembangan isu lingkungan, sosial, dan tata kelola (ESG) mendorong perusahaan untuk menyusun laporan keberlanjutan sebagai bentuk akuntabilitas terhadap para pemangku kepentingan. Seiring dengan meningkatnya regulasi dan tuntutan transparansi, auditor dituntut untuk siap dalam melakukan pemeriksaan atas laporan non-keuangan yang kompleks dan bersifat kualitatif. Penelitian ini bertujuan untuk menganalisis kesiapan auditor (audit readiness) dalam mengaudit laporan keberlanjutan serta mengidentifikasi tantangan yang dihadapi dalam era ESG disclosure. Dengan pendekatan kualitatif dan studi literatur, penelitian ini menemukan bahwa tantangan utama meliputi kurangnya standar audit yang seragam, keterbatasan kompetensi auditor dalam isu ESG, serta kebutuhan kolaborasi lintas disiplin. Hasil penelitian ini memberikan wawasan awal mengenai pentingnya peningkatan kapasitas auditor dan penguatan kerangka regulasi guna memastikan keandalan laporan keberlanjutan. Kata kunci: Audit readiness, laporan keberlanjutan, ESG disclosure, tantangan auditor, audit non-keuangan Abstract The growing emphasis on environmental, social, and governance (ESG) issues has driven companies to publish sustainability reports as a form of accountability to stakeholders. Alongside increasing regulatory pressures and demands for transparency, auditors are expected to be prepared to examine complex and qualitative non-financial reports. This study aims to analyze the audit readiness of auditors in auditing sustainability reports and to identify the challenges they face in the era of ESG disclosure. Using a qualitative approach and literature review, the study finds that the main challenges include the lack of standardized audit frameworks, limited auditor competence in ESG-related matters, and the need for interdisciplinary collaboration. The findings provide initial insights into the importance of enhancing auditor capacity and strengthening regulatory frameworks to ensure the reliability of sustainability reporting.&quot;,&quot;issue&quot;:&quot;9&quot;,&quot;volume&quot;:&quot;20&quot;,&quot;container-title-short&quot;:&quot;&quot;},&quot;isTemporary&quot;:false}]},{&quot;citationID&quot;:&quot;MENDELEY_CITATION_63bae0aa-c6f3-4b0b-8ec5-a4a006f0f062&quot;,&quot;properties&quot;:{&quot;noteIndex&quot;:0},&quot;isEdited&quot;:false,&quot;manualOverride&quot;:{&quot;isManuallyOverridden&quot;:false,&quot;citeprocText&quot;:&quot;(R. Amalia et al., 2024)&quot;,&quot;manualOverrideText&quot;:&quot;&quot;},&quot;citationTag&quot;:&quot;MENDELEY_CITATION_v3_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&quot;,&quot;citationItems&quot;:[{&quot;id&quot;:&quot;de0f5309-5ff7-3e92-bf9e-3139e5557ebb&quot;,&quot;itemData&quot;:{&quot;type&quot;:&quot;article-journal&quot;,&quot;id&quot;:&quot;de0f5309-5ff7-3e92-bf9e-3139e5557ebb&quot;,&quot;title&quot;:&quot;Pengungkapan Aspek Sosial Sesusai Standar GRI 400 versus Kepercayaan Pemangku Kepentingan&quot;,&quot;author&quot;:[{&quot;family&quot;:&quot;Amalia&quot;,&quot;given&quot;:&quot;Rizky&quot;,&quot;parse-names&quot;:false,&quot;dropping-particle&quot;:&quot;&quot;,&quot;non-dropping-particle&quot;:&quot;&quot;},{&quot;family&quot;:&quot;Kharisma&quot;,&quot;given&quot;:&quot;Andy Novendra&quot;,&quot;parse-names&quot;:false,&quot;dropping-particle&quot;:&quot;&quot;,&quot;non-dropping-particle&quot;:&quot;&quot;},{&quot;family&quot;:&quot;Firmansyah&quot;,&quot;given&quot;:&quot;Amrie&quot;,&quot;parse-names&quot;:false,&quot;dropping-particle&quot;:&quot;&quot;,&quot;non-dropping-particle&quot;:&quot;&quot;}],&quot;container-title&quot;:&quot;AKUNTANSIKU&quot;,&quot;accessed&quot;:{&quot;date-parts&quot;:[[2026,3,25]]},&quot;URL&quot;:&quot;https://scholar.googleusercontent.com/scholar?q=cache:qI8jD_Jmj5sJ:scholar.google.com/+PENGUNGKAPAN+ASPEK+SOSIAL+SESUAI+STANDAR+GRI+400+VERSUS+KEPERCAYAAN+PEMANGKU+KEPENTINGAN&amp;hl=id&amp;as_sdt=0,5&quot;,&quot;issued&quot;:{&quot;date-parts&quot;:[[2024]]},&quot;abstract&quot;:&quot;This research aims to review the informativeness and comparability of non-financial reporting indicators on corporate social aspects of doing business following the Global Reporting Initiative (GRI) Standards. Apart from that, this research also reviews the alignment of GRI 400 indicators (social topics) to support achieving Sustainable Development Goals (SDGs). The research method used in this research is scoping review and content analysis. A scoping review is carried out by identifying literature from various reference sources related to GRI 400. Meanwhile, content analysis adds disclosure information required in the discussion review. The results of this research conclude that the GRI 400 indicators have supported the achievement of the SDGs. This research also provides suggestions for several indicators in the GRI 400 series quantitatively and cost-wise. It is hoped that the results of this research will be useful for local policymakers to consider proposals for additional information disclosed in sustainability reports and can increase stakeholders' trust in the sustainability reports presented.&quot;,&quot;issue&quot;:&quot;3&quot;,&quot;volume&quot;:&quot;3&quot;,&quot;container-title-short&quot;:&quot;&quot;},&quot;isTemporary&quot;:false}]},{&quot;citationID&quot;:&quot;MENDELEY_CITATION_6fd87217-7fd9-4d30-8572-025d19466361&quot;,&quot;properties&quot;:{&quot;noteIndex&quot;:0},&quot;isEdited&quot;:false,&quot;manualOverride&quot;:{&quot;isManuallyOverridden&quot;:true,&quot;citeprocText&quot;:&quot;(Anzelya, 2020)&quot;,&quot;manualOverrideText&quot;:&quot;Anzelya, (2020)&quot;},&quot;citationTag&quot;:&quot;MENDELEY_CITATION_v3_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&quot;,&quot;citationItems&quot;:[{&quot;id&quot;:&quot;2685d8aa-4c1f-3483-82f4-57cf199758a5&quot;,&quot;itemData&quot;:{&quot;type&quot;:&quot;article-journal&quot;,&quot;id&quot;:&quot;2685d8aa-4c1f-3483-82f4-57cf199758a5&quot;,&quot;title&quot;:&quot;Pengaruh Efektivitas Komite Audit, Kualitas Internal dan Eksternal Audit terhadap Manajemen Laba Riil&quot;,&quot;author&quot;:[{&quot;family&quot;:&quot;Anzelya&quot;,&quot;given&quot;:&quot;Yunni&quot;,&quot;parse-names&quot;:false,&quot;dropping-particle&quot;:&quot;&quot;,&quot;non-dropping-particle&quot;:&quot;&quot;}],&quot;container-title&quot;:&quot;JURNAL ONLINE INSAN AKUNTAN&quot;,&quot;DOI&quot;:&quot;https://doi.org/10.51211/joia.v5i1.1325&quot;,&quot;ISSN&quot;:&quot;2528-0163&quot;,&quot;issued&quot;:{&quot;date-parts&quot;:[[2020]]},&quot;page&quot;:&quot;99-112&quot;,&quot;issue&quot;:&quot;1&quot;,&quot;volume&quot;:&quot;5&quot;,&quot;container-title-short&quot;:&quot;&quot;},&quot;isTemporary&quot;:false}]},{&quot;citationID&quot;:&quot;MENDELEY_CITATION_fc705ca8-426e-420d-b08e-320a0e0f8a70&quot;,&quot;properties&quot;:{&quot;noteIndex&quot;:0},&quot;isEdited&quot;:false,&quot;manualOverride&quot;:{&quot;isManuallyOverridden&quot;:false,&quot;citeprocText&quot;:&quot;(Rosalina, 2025)&quot;,&quot;manualOverrideText&quot;:&quot;&quot;},&quot;citationTag&quot;:&quot;MENDELEY_CITATION_v3_eyJjaXRhdGlvbklEIjoiTUVOREVMRVlfQ0lUQVRJT05fZmM3MDVjYTgtNDI2ZS00MjBkLWIwOGUtMzIwYTBlMGY4YTcw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quot;,&quot;citationItems&quot;:[{&quot;id&quot;:&quot;048d8b56-6c92-3f7f-8575-407ce292afcc&quot;,&quot;itemData&quot;:{&quot;type&quot;:&quot;article-journal&quot;,&quot;id&quot;:&quot;048d8b56-6c92-3f7f-8575-407ce292afcc&quot;,&quot;title&quot;:&quot;Pengaruh Keahlian Komite Audit dan Frekuensi Rapat\nKomite Audit terhadap Kualitas Pelaporan Keuangan di\nSektor Kesehatan&quot;,&quot;author&quot;:[{&quot;family&quot;:&quot;Rosalina&quot;,&quot;given&quot;:&quot;&quot;,&quot;parse-names&quot;:false,&quot;dropping-particle&quot;:&quot;&quot;,&quot;non-dropping-particle&quot;:&quot;&quot;}],&quot;container-title&quot;:&quot;Syntax Idea&quot;,&quot;DOI&quot;:&quot;https://doi.org/10.46799/syntaxidea.v7i7.13409&quot;,&quot;issued&quot;:{&quot;date-parts&quot;:[[2025,7]]},&quot;page&quot;:&quot;2548-1398&quot;,&quot;issue&quot;:&quot;7&quot;,&quot;volume&quot;:&quot;7&quot;,&quot;container-title-short&quot;:&quot;&quot;},&quot;isTemporary&quot;:false}]},{&quot;citationID&quot;:&quot;MENDELEY_CITATION_41832a22-0339-44d7-a2de-dd48eef60ec0&quot;,&quot;properties&quot;:{&quot;noteIndex&quot;:0},&quot;isEdited&quot;:false,&quot;manualOverride&quot;:{&quot;isManuallyOverridden&quot;:true,&quot;citeprocText&quot;:&quot;(Anderson et al., 2003)&quot;,&quot;manualOverrideText&quot;:&quot;Anderson et al., (2003)&quot;},&quot;citationTag&quot;:&quot;MENDELEY_CITATION_v3_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&quot;,&quot;citationItems&quot;:[{&quot;id&quot;:&quot;4f47c6ff-7678-3177-9a11-e9b6b728d698&quot;,&quot;itemData&quot;:{&quot;type&quot;:&quot;article-journal&quot;,&quot;id&quot;:&quot;4f47c6ff-7678-3177-9a11-e9b6b728d698&quot;,&quot;title&quot;:&quot;Board Characteristics, Accounting Report Integrity, and the Cost of Debt&quot;,&quot;author&quot;:[{&quot;family&quot;:&quot;Anderson&quot;,&quot;given&quot;:&quot;Ronald C&quot;,&quot;parse-names&quot;:false,&quot;dropping-particle&quot;:&quot;&quot;,&quot;non-dropping-particle&quot;:&quot;&quot;},{&quot;family&quot;:&quot;Mansi&quot;,&quot;given&quot;:&quot;Sattar A&quot;,&quot;parse-names&quot;:false,&quot;dropping-particle&quot;:&quot;&quot;,&quot;non-dropping-particle&quot;:&quot;&quot;},{&quot;family&quot;:&quot;Reeb&quot;,&quot;given&quot;:&quot;David M&quot;,&quot;parse-names&quot;:false,&quot;dropping-particle&quot;:&quot;&quot;,&quot;non-dropping-particle&quot;:&quot;&quot;}],&quot;container-title&quot;:&quot;Journal of Accounting and Economics&quot;,&quot;DOI&quot;:&quot;https://doi.org/10.1016/j.jacceco.2004.01.004&quot;,&quot;issued&quot;:{&quot;date-parts&quot;:[[2003,11,15]]},&quot;language&quot;:&quot;English&quot;,&quot;abstract&quot;:&quot;Creditor reliance on accounting-based debt covenants suggests that debtors are potentially concerned with board of director characteristics that influence the financial accounting process. In a sample of S&amp;P 500 firms, we find that the cost of debt financing is inversely related to board independence and board size. We also examine the impact of audit committee characteristics on corporate yields spreads as audit committees are the direct mechanism that boards use to monitor the financial accounting process. We find that fully independent audit committees are associated with a significantly lower cost of debt financing. Similarly, yield spreads are also negatively related to audit committee size and the number of audit committee meetings. Overall, these results provide market-based evidence that boards and audit committees are important elements affecting the reliability of financial reports. JEL Classification: M4, K0, G3&quot;,&quot;issue&quot;:&quot;3&quot;,&quot;volume&quot;:&quot;37&quot;,&quot;container-title-short&quot;:&quot;&quot;},&quot;isTemporary&quot;:false}]},{&quot;citationID&quot;:&quot;MENDELEY_CITATION_29334f11-e42f-4718-975a-769da39ad73e&quot;,&quot;properties&quot;:{&quot;noteIndex&quot;:0},&quot;isEdited&quot;:false,&quot;manualOverride&quot;:{&quot;isManuallyOverridden&quot;:false,&quot;citeprocText&quot;:&quot;(Syahputra et al., 2025)&quot;,&quot;manualOverrideText&quot;:&quot;&quot;},&quot;citationTag&quot;:&quot;MENDELEY_CITATION_v3_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&quot;,&quot;citationItems&quot;:[{&quot;id&quot;:&quot;6f894416-b025-3adb-9740-d2733a4befc2&quot;,&quot;itemData&quot;:{&quot;type&quot;:&quot;article-journal&quot;,&quot;id&quot;:&quot;6f894416-b025-3adb-9740-d2733a4befc2&quot;,&quot;title&quot;:&quot;Dampak Keahlian Komite Audit dan Frekuensi Rapat Komite Audit terhadap Kualitas Pelaporan Keuangan di Sektor Infrastruktur&quot;,&quot;author&quot;:[{&quot;family&quot;:&quot;Syahputra&quot;,&quot;given&quot;:&quot;Muhammad Daffa Haikal&quot;,&quot;parse-names&quot;:false,&quot;dropping-particle&quot;:&quot;&quot;,&quot;non-dropping-particle&quot;:&quot;&quot;},{&quot;family&quot;:&quot;Anshari&quot;,&quot;given&quot;:&quot;Rahman&quot;,&quot;parse-names&quot;:false,&quot;dropping-particle&quot;:&quot;&quot;,&quot;non-dropping-particle&quot;:&quot;&quot;},{&quot;family&quot;:&quot;Pribadi&quot;,&quot;given&quot;:&quot;Muhammad Iqbal&quot;,&quot;parse-names&quot;:false,&quot;dropping-particle&quot;:&quot;&quot;,&quot;non-dropping-particle&quot;:&quot;&quot;}],&quot;container-title&quot;:&quot;IKRAITH-EKONOMIKA&quot;,&quot;DOI&quot;:&quot;10.37817/IKRAITH-EKONOMIKA&quot;,&quot;issued&quot;:{&quot;date-parts&quot;:[[2025,7,2]]},&quot;volume&quot;:&quot;8&quot;,&quot;container-title-short&quot;:&quot;&quot;},&quot;isTemporary&quot;:false}]},{&quot;citationID&quot;:&quot;MENDELEY_CITATION_6a9262f1-89bc-4027-9bc6-b4988c4c2b6f&quot;,&quot;properties&quot;:{&quot;noteIndex&quot;:0},&quot;isEdited&quot;:false,&quot;manualOverride&quot;:{&quot;isManuallyOverridden&quot;:false,&quot;citeprocText&quot;:&quot;(Rosalina, 2025)&quot;,&quot;manualOverrideText&quot;:&quot;&quot;},&quot;citationTag&quot;:&quot;MENDELEY_CITATION_v3_eyJjaXRhdGlvbklEIjoiTUVOREVMRVlfQ0lUQVRJT05fNmE5MjYyZjEtODliYy00MDI3LTliYzYtYjQ5ODhjNGMyYjZm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quot;,&quot;citationItems&quot;:[{&quot;id&quot;:&quot;048d8b56-6c92-3f7f-8575-407ce292afcc&quot;,&quot;itemData&quot;:{&quot;type&quot;:&quot;article-journal&quot;,&quot;id&quot;:&quot;048d8b56-6c92-3f7f-8575-407ce292afcc&quot;,&quot;title&quot;:&quot;Pengaruh Keahlian Komite Audit dan Frekuensi Rapat\nKomite Audit terhadap Kualitas Pelaporan Keuangan di\nSektor Kesehatan&quot;,&quot;author&quot;:[{&quot;family&quot;:&quot;Rosalina&quot;,&quot;given&quot;:&quot;&quot;,&quot;parse-names&quot;:false,&quot;dropping-particle&quot;:&quot;&quot;,&quot;non-dropping-particle&quot;:&quot;&quot;}],&quot;container-title&quot;:&quot;Syntax Idea&quot;,&quot;DOI&quot;:&quot;https://doi.org/10.46799/syntaxidea.v7i7.13409&quot;,&quot;issued&quot;:{&quot;date-parts&quot;:[[2025,7]]},&quot;page&quot;:&quot;2548-1398&quot;,&quot;issue&quot;:&quot;7&quot;,&quot;volume&quot;:&quot;7&quot;,&quot;container-title-short&quot;:&quot;&quot;},&quot;isTemporary&quot;:false}]},{&quot;citationID&quot;:&quot;MENDELEY_CITATION_52be30db-d6bf-4848-b2de-0c434549453f&quot;,&quot;properties&quot;:{&quot;noteIndex&quot;:0},&quot;isEdited&quot;:false,&quot;manualOverride&quot;:{&quot;isManuallyOverridden&quot;:false,&quot;citeprocText&quot;:&quot;(Josephine et al., 2019)&quot;,&quot;manualOverrideText&quot;:&quot;&quot;},&quot;citationTag&quot;:&quot;MENDELEY_CITATION_v3_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&quot;,&quot;citationItems&quot;:[{&quot;id&quot;:&quot;ddacbaf7-1b9c-3b4c-8a64-6beb7cf98cc4&quot;,&quot;itemData&quot;:{&quot;type&quot;:&quot;article-journal&quot;,&quot;id&quot;:&quot;ddacbaf7-1b9c-3b4c-8a64-6beb7cf98cc4&quot;,&quot;title&quot;:&quot;Pengaruh Modal Intelektual dan Tata Kelola Perusahaan terhadap Nilai Perusahan Melalui Kinerja Keuangan (Studi Empiris pada Perusahaan  LQ45 di Bursa Efek Indonesia periode 2015-2017)&quot;,&quot;author&quot;:[{&quot;family&quot;:&quot;Josephine&quot;,&quot;given&quot;:&quot;Kezia&quot;,&quot;parse-names&quot;:false,&quot;dropping-particle&quot;:&quot;&quot;,&quot;non-dropping-particle&quot;:&quot;&quot;},{&quot;family&quot;:&quot;Trisnawati&quot;,&quot;given&quot;:&quot;Estralita&quot;,&quot;parse-names&quot;:false,&quot;dropping-particle&quot;:&quot;&quot;,&quot;non-dropping-particle&quot;:&quot;&quot;},{&quot;family&quot;:&quot;Setijaningsih&quot;,&quot;given&quot;:&quot;Herlin Tundjung&quot;,&quot;parse-names&quot;:false,&quot;dropping-particle&quot;:&quot;&quot;,&quot;non-dropping-particle&quot;:&quot;&quot;}],&quot;container-title&quot;:&quot;Jurnal Muara Ilmu Ekonomi dan Bisnis&quot;,&quot;DOI&quot;:&quot;10.24912/jmieb.v3i1.2474&quot;,&quot;ISSN&quot;:&quot;2579-6224&quot;,&quot;issued&quot;:{&quot;date-parts&quot;:[[2019,4]]},&quot;page&quot;:&quot;59-70&quot;,&quot;abstract&quot;:&quot;Saat ini investor lebih tertarik berinvestasi pada perusahaan yang memiliki harga saham yang stabil. Oleh sebab itu, penting bagi perusahaan untuk mengetahui faktor-faktor yang berpengaruh terhadap harga saham. Dalam penelitian ini terdapat dua faktor yang akan yaitu modal intelektual dan tata kelola perusahaan dengan menggunakan variabel mediasi kinerja keuangan (ROA). Penelitian ini ingin melihat pengaruh langsung dan tidak langsung antara variabel independen terhadap variabel dependen. Sampel yang digunakan dalam penelitian diambil melalui perusahaan dalam LQ 45 dengan menggunakan metode purposive sampling dalam periode waktu 2015-2017. Metode analisis data yang digunakan ialah Eviews versi 10. Hasil dari penelitian ini menemukan bahwa modal intelektual tidak berpengaruh langsumh terhadap nilai perusahaan, sedangkan tata kelola perusahaan memiliki pengaruh terhadap nilai perusahaan. Hasil penelitian ini juga menemukan bahwa terjadi pengaruh tidak langsung antara tata kelola perusahaan terhadap nilai perusahaan melalui kinerja keuangan. Currently investors will be more interested in investing in companies that have a stable stock price. Therefore, it is important for the company to know the factors that affect the stock price. In this research there are two factors that will be intellectual capital and corporate governance by using variable of financial performance mediation (ROA). This study wanted to see the direct and indirect influence between the independent variables to the dependent variable. The sample used in the study was taken through the company in LQ 45 by using purposive sampling method within the period of 2015-2017. Data analysis method used is Eviews version 10. The results of this study found that intellectual capital has no direct effect on firm’s value, while corporate governance has an influence on firm’s value. The results of this study also found that there is an indirect influence between corporate governance on firm’s value through financial performance.&quot;,&quot;publisher&quot;:&quot;Universitas Tarumanagara&quot;,&quot;issue&quot;:&quot;1&quot;,&quot;volume&quot;:&quot;3&quot;,&quot;container-title-short&quot;:&quot;&quot;},&quot;isTemporary&quot;:false}]},{&quot;citationID&quot;:&quot;MENDELEY_CITATION_4e443325-44f7-4387-b094-c179a212f8be&quot;,&quot;properties&quot;:{&quot;noteIndex&quot;:0},&quot;isEdited&quot;:false,&quot;manualOverride&quot;:{&quot;isManuallyOverridden&quot;:true,&quot;citeprocText&quot;:&quot;(Sapna et al., 2025)&quot;,&quot;manualOverrideText&quot;:&quot;Sapna et al., (2025)&quot;},&quot;citationTag&quot;:&quot;MENDELEY_CITATION_v3_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&quot;,&quot;citationItems&quot;:[{&quot;id&quot;:&quot;2f8226a0-d624-386a-8fb3-d1d70720d3aa&quot;,&quot;itemData&quot;:{&quot;type&quot;:&quot;article-journal&quot;,&quot;id&quot;:&quot;2f8226a0-d624-386a-8fb3-d1d70720d3aa&quot;,&quot;title&quot;:&quot;Pengaruh Struktur Modal, Kebijakan Dividen, dan Profitabilitas\nTerhadap Nilai Perusahaan&quot;,&quot;author&quot;:[{&quot;family&quot;:&quot;Sapna&quot;,&quot;given&quot;:&quot;Atika&quot;,&quot;parse-names&quot;:false,&quot;dropping-particle&quot;:&quot;&quot;,&quot;non-dropping-particle&quot;:&quot;&quot;},{&quot;family&quot;:&quot;Said&quot;,&quot;given&quot;:&quot;Saida&quot;,&quot;parse-names&quot;:false,&quot;dropping-particle&quot;:&quot;&quot;,&quot;non-dropping-particle&quot;:&quot;&quot;},{&quot;family&quot;:&quot;Mellisyah&quot;,&quot;given&quot;:&quot;&quot;,&quot;parse-names&quot;:false,&quot;dropping-particle&quot;:&quot;&quot;,&quot;non-dropping-particle&quot;:&quot;&quot;}],&quot;container-title&quot;:&quot;PARADOKS Jurnal Ilmu Ekonomi&quot;,&quot;DOI&quot;:&quot;https://doi.org/10.57178/paradoks.v8i2.1284&quot;,&quot;ISSN&quot;:&quot;2622-6383&quot;,&quot;issued&quot;:{&quot;date-parts&quot;:[[2025,4]]},&quot;issue&quot;:&quot;2&quot;,&quot;volume&quot;:&quot;8&quot;,&quot;container-title-short&quot;:&quot;&quot;},&quot;isTemporary&quot;:false}]},{&quot;citationID&quot;:&quot;MENDELEY_CITATION_b1750d3d-0963-4f38-86c3-a62151786c64&quot;,&quot;properties&quot;:{&quot;noteIndex&quot;:0},&quot;isEdited&quot;:false,&quot;manualOverride&quot;:{&quot;isManuallyOverridden&quot;:false,&quot;citeprocText&quot;:&quot;(Ramadhani, 2025)&quot;,&quot;manualOverrideText&quot;:&quot;&quot;},&quot;citationTag&quot;:&quot;MENDELEY_CITATION_v3_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&quot;,&quot;citationItems&quot;:[{&quot;id&quot;:&quot;d80f2e13-93c4-310c-9549-60be5588399e&quot;,&quot;itemData&quot;:{&quot;type&quot;:&quot;thesis&quot;,&quot;id&quot;:&quot;d80f2e13-93c4-310c-9549-60be5588399e&quot;,&quot;title&quot;:&quot;Analisis Kualitas Assurance Statement atas Sustainability Report pada Perusahaan BUMN Tahun 2022-2023&quot;,&quot;author&quot;:[{&quot;family&quot;:&quot;Ramadhani&quot;,&quot;given&quot;:&quot;Cahya Awalia&quot;,&quot;parse-names&quot;:false,&quot;dropping-particle&quot;:&quot;&quot;,&quot;non-dropping-particle&quot;:&quot;&quot;}],&quot;accessed&quot;:{&quot;date-parts&quot;:[[2026,3,25]]},&quot;URL&quot;:&quot;https://repository.unhas.ac.id/id/eprint/53708/&quot;,&quot;issued&quot;:{&quot;date-parts&quot;:[[2025]]},&quot;container-title-short&quot;:&quot;&quot;},&quot;isTemporary&quot;:false}]},{&quot;citationID&quot;:&quot;MENDELEY_CITATION_b632f58a-4d0b-4130-97f5-ed2ddff212d0&quot;,&quot;properties&quot;:{&quot;noteIndex&quot;:0},&quot;isEdited&quot;:false,&quot;manualOverride&quot;:{&quot;isManuallyOverridden&quot;:true,&quot;citeprocText&quot;:&quot;(Sìmnett et al., 2009)&quot;,&quot;manualOverrideText&quot;:&quot;Sìmnett et al., (2009)&quot;},&quot;citationTag&quot;:&quot;MENDELEY_CITATION_v3_eyJjaXRhdGlvbklEIjoiTUVOREVMRVlfQ0lUQVRJT05fYjYzMmY1OGEtNGQwYi00MTMwLTk3ZjUtZWQyZGRmZjIxMmQw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quot;,&quot;citationItems&quot;:[{&quot;id&quot;:&quot;d6f9a466-9c0a-355a-8f78-c16ec163c90a&quot;,&quot;itemData&quot;:{&quot;type&quot;:&quot;article-journal&quot;,&quot;id&quot;:&quot;d6f9a466-9c0a-355a-8f78-c16ec163c90a&quot;,&quot;title&quot;:&quot;Assurance on Sustainability Reports: An International Comparison&quot;,&quot;author&quot;:[{&quot;family&quot;:&quot;Sìmnett&quot;,&quot;given&quot;:&quot;Roger&quot;,&quot;parse-names&quot;:false,&quot;dropping-particle&quot;:&quot;&quot;,&quot;non-dropping-particle&quot;:&quot;&quot;},{&quot;family&quot;:&quot;Vanstraelen&quot;,&quot;given&quot;:&quot;Ann&quot;,&quot;parse-names&quot;:false,&quot;dropping-particle&quot;:&quot;&quot;,&quot;non-dropping-particle&quot;:&quot;&quot;},{&quot;family&quot;:&quot;Chua&quot;,&quot;given&quot;:&quot;Wai Fong&quot;,&quot;parse-names&quot;:false,&quot;dropping-particle&quot;:&quot;&quot;,&quot;non-dropping-particle&quot;:&quot;&quot;}],&quot;container-title&quot;:&quot;Accounting Review&quot;,&quot;DOI&quot;:&quot;10.2308/accr.2009.84.3.937&quot;,&quot;ISSN&quot;:&quot;00014826&quot;,&quot;issued&quot;:{&quot;date-parts&quot;:[[2009,5]]},&quot;page&quot;:&quot;937-967&quot;,&quot;abstract&quot;:&quot;Globally, companies increasingly publish separate general purpose, non-financial (sustainability) reports. Some of these are independently assured and assurers may or may not be from the auditing profession. We seek to understand this emerging voluntary assurance market. Using a sample of 2,113 companies (from 31 countries) that produced sustainability reports between 2002-2004, we use sequential logit analysis to identify the factors associated with the decision to voluntarily purchase assurance and the choice of assurance provider. We hypothesize that a company's need to enhance credibility through assurance and choice of assurance provider will be a function of company-, industry-, and country-related factors. Our results support the argument that companies seeking to enhance the credibility of their reports and build their corporate reputation are more likely to have their sustainability reports assured, although it does not matter whether the assurance provider comes from the auditing profession. We also find that companies operating in stakeholder-orientated countries are more likely to choose the auditing profession as an assurer.&quot;,&quot;issue&quot;:&quot;3&quot;,&quot;volume&quot;:&quot;84&quot;,&quot;container-title-short&quot;:&quot;&quot;},&quot;isTemporary&quot;:false}]},{&quot;citationID&quot;:&quot;MENDELEY_CITATION_57898349-90c3-4c72-a662-1abbccc83157&quot;,&quot;properties&quot;:{&quot;noteIndex&quot;:0},&quot;isEdited&quot;:false,&quot;manualOverride&quot;:{&quot;isManuallyOverridden&quot;:false,&quot;citeprocText&quot;:&quot;(Anggraini &amp;#38; Arieftiara, 2023)&quot;,&quot;manualOverrideText&quot;:&quot;&quot;},&quot;citationTag&quot;:&quot;MENDELEY_CITATION_v3_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&quot;,&quot;citationItems&quot;:[{&quot;id&quot;:&quot;e61aca2d-5a9f-3247-91c6-8da5f8f7f6c7&quot;,&quot;itemData&quot;:{&quot;type&quot;:&quot;article-journal&quot;,&quot;id&quot;:&quot;e61aca2d-5a9f-3247-91c6-8da5f8f7f6c7&quot;,&quot;title&quot;:&quot;Analisis Green Innovation, Laporan Keberlanjutan, dan\nOpini Going Concern Serta Dampaknya pada Nilai Perusahaan&quot;,&quot;author&quot;:[{&quot;family&quot;:&quot;Anggraini&quot;,&quot;given&quot;:&quot;Sylvia Putri&quot;,&quot;parse-names&quot;:false,&quot;dropping-particle&quot;:&quot;&quot;,&quot;non-dropping-particle&quot;:&quot;&quot;},{&quot;family&quot;:&quot;Arieftiara&quot;,&quot;given&quot;:&quot;Dianwicaksih&quot;,&quot;parse-names&quot;:false,&quot;dropping-particle&quot;:&quot;&quot;,&quot;non-dropping-particle&quot;:&quot;&quot;}],&quot;container-title&quot;:&quot;Jurnal Equity&quot;,&quot;DOI&quot;:&quot;DOI:10.34209/equ.v26i2.7413&quot;,&quot;issued&quot;:{&quot;date-parts&quot;:[[2023,8]]},&quot;page&quot;:&quot;149-172&quot;,&quot;issue&quot;:&quot;2&quot;,&quot;volume&quot;:&quot;26&quot;,&quot;container-title-short&quot;:&quot;&quot;},&quot;isTemporary&quot;:false}]},{&quot;citationID&quot;:&quot;MENDELEY_CITATION_c66e01b3-7f34-4806-9350-ec31c17b186f&quot;,&quot;properties&quot;:{&quot;noteIndex&quot;:0},&quot;isEdited&quot;:false,&quot;manualOverride&quot;:{&quot;isManuallyOverridden&quot;:false,&quot;citeprocText&quot;:&quot;(Purnamasari, 2025)&quot;,&quot;manualOverrideText&quot;:&quot;&quot;},&quot;citationTag&quot;:&quot;MENDELEY_CITATION_v3_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&quot;,&quot;citationItems&quot;:[{&quot;id&quot;:&quot;8172ffa9-cec2-3361-8833-de9282b986a4&quot;,&quot;itemData&quot;:{&quot;type&quot;:&quot;article-journal&quot;,&quot;id&quot;:&quot;8172ffa9-cec2-3361-8833-de9282b986a4&quot;,&quot;title&quot;:&quot;Mekanisme Perkembangan Pasar Modal sebagai Salah Satu Produk Investasi di Masyarakat&quot;,&quot;author&quot;:[{&quot;family&quot;:&quot;Purnamasari&quot;,&quot;given&quot;:&quot;Sinta Ayu&quot;,&quot;parse-names&quot;:false,&quot;dropping-particle&quot;:&quot;&quot;,&quot;non-dropping-particle&quot;:&quot;&quot;}],&quot;container-title&quot;:&quot;Jurnal Rumpun Manajemen dan Ekonomi&quot;,&quot;DOI&quot;:&quot;10.61722/jrme.v2i3.4739&quot;,&quot;URL&quot;:&quot;https://doi.org/10.61722/jrme.v2i3.4739&quot;,&quot;issued&quot;:{&quot;date-parts&quot;:[[2025,5]]},&quot;page&quot;:&quot;499-515&quot;,&quot;abstract&quot;:&quot;Abstrak. The capital market is one of the important instruments in the economy that functions to connect parties in need of funds with those who have funds through the buying and selling of securities. As an investment product, the capital market plays a strategic role in driving economic growth, creating job opportunities, and increasing the efficiency of resource allocation. The aim of this study is to analyze the mechanisms of the capital market and its development as an investment product in society. This study also aims to identify the functions of the capital market in the economy and assess its impact on the general economic condition of society. The research method used in this study is a descriptive approach with qualitative analysis of secondary data obtained from various sources, such as annual reports from financial institutions and related literature. The results show that the capital market functions as a means of raising funds, distributing risks, and providing transparent information. In addition, the development of the capital market has made significant progress, with increased participation from the public in investing in stocks and bonds. This study also found that with the existence of the capital market, the public has greater opportunities to invest, which ultimately leads to the improvement of overall economic welfare.&quot;,&quot;issue&quot;:&quot;3&quot;,&quot;volume&quot;:&quot;2&quot;,&quot;container-title-short&quot;:&quot;&quot;},&quot;isTemporary&quot;:false}]},{&quot;citationID&quot;:&quot;MENDELEY_CITATION_e9b06bee-e7a1-49ad-9b7d-edc865fc3e09&quot;,&quot;properties&quot;:{&quot;noteIndex&quot;:0},&quot;isEdited&quot;:false,&quot;manualOverride&quot;:{&quot;isManuallyOverridden&quot;:true,&quot;citeprocText&quot;:&quot;(Manurung et al., 2025)&quot;,&quot;manualOverrideText&quot;:&quot;Manurung et al., (2025)&quot;},&quot;citationTag&quot;:&quot;MENDELEY_CITATION_v3_eyJjaXRhdGlvbklEIjoiTUVOREVMRVlfQ0lUQVRJT05fZTliMDZiZWUtZTdhMS00OWFkLTliN2QtZWRjODY1ZmMzZTA5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quot;,&quot;citationItems&quot;:[{&quot;id&quot;:&quot;a4a897c1-eac2-35c1-9a44-0aceebacc55a&quot;,&quot;itemData&quot;:{&quot;type&quot;:&quot;article-journal&quot;,&quot;id&quot;:&quot;a4a897c1-eac2-35c1-9a44-0aceebacc55a&quot;,&quot;title&quot;:&quot;Pengaruh Sustainability Reporting terhadap Nilai Perusahaan: Kajian Literatur Sistematis&quot;,&quot;author&quot;:[{&quot;family&quot;:&quot;Manurung&quot;,&quot;given&quot;:&quot;Amran&quot;,&quot;parse-names&quot;:false,&quot;dropping-particle&quot;:&quot;&quot;,&quot;non-dropping-particle&quot;:&quot;&quot;},{&quot;family&quot;:&quot;Hendriarto&quot;,&quot;given&quot;:&quot;Prasetyono&quot;,&quot;parse-names&quot;:false,&quot;dropping-particle&quot;:&quot;&quot;,&quot;non-dropping-particle&quot;:&quot;&quot;},{&quot;family&quot;:&quot;Sangapan&quot;,&quot;given&quot;:&quot;Lukman Hakim&quot;,&quot;parse-names&quot;:false,&quot;dropping-particle&quot;:&quot;&quot;,&quot;non-dropping-particle&quot;:&quot;&quot;},{&quot;family&quot;:&quot;Manurung&quot;,&quot;given&quot;:&quot;Adler Haymans&quot;,&quot;parse-names&quot;:false,&quot;dropping-particle&quot;:&quot;&quot;,&quot;non-dropping-particle&quot;:&quot;&quot;}],&quot;container-title&quot;:&quot;(JGIA) Jurnal Greenation Ilmu Akuntansi&quot;,&quot;DOI&quot;:&quot;10.38035/jgia.v3i2&quot;,&quot;issued&quot;:{&quot;date-parts&quot;:[[2025]]},&quot;abstract&quot;:&quot;This study aims to analyze the impact of sustainability reporting on firm value through a systematic literature review (SLR) of 48 academic articles published between 2010 and 2024. The review follows the PRISMA guidelines for literature selection and analysis, examining key variables, theoretical frameworks, and the direction of empirical relationships between sustainability reporting and firm value. Findings indicate that 65% of the studies report a positive and significant effect, 19% find no significant relationship, and 16% report a negative effect. Moderating factors such as profitability, firm size, leverage, and audit quality are shown to influence this relationship. Theoretically, the results support the applicability of legitimacy theory, stakeholder theory, and signaling theory as conceptual foundations linking sustainability disclosure transparency to market valuation. This study contributes to the sustainable accounting literature by demonstrating that sustainability reporting functions not merely as a social obligation but also as a strategic economic tool that enhances corporate reputation and competitiveness.&quot;,&quot;issue&quot;:&quot;2&quot;,&quot;volume&quot;:&quot;3&quot;,&quot;container-title-short&quot;:&quot;&quot;},&quot;isTemporary&quot;:false}]},{&quot;citationID&quot;:&quot;MENDELEY_CITATION_68f9dc00-28f7-40c8-9eb8-e67e880bbc27&quot;,&quot;properties&quot;:{&quot;noteIndex&quot;:0},&quot;isEdited&quot;:false,&quot;manualOverride&quot;:{&quot;isManuallyOverridden&quot;:true,&quot;citeprocText&quot;:&quot;(Sugiyono, 2013)&quot;,&quot;manualOverrideText&quot;:&quot;Sugiyono, (2013)&quot;},&quot;citationTag&quot;:&quot;MENDELEY_CITATION_v3_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&quot;,&quot;citationItems&quot;:[{&quot;id&quot;:&quot;f102bba3-8af2-3dc1-8100-d5aa5c5486fb&quot;,&quot;itemData&quot;:{&quot;type&quot;:&quot;book&quot;,&quot;id&quot;:&quot;f102bba3-8af2-3dc1-8100-d5aa5c5486fb&quot;,&quot;title&quot;:&quot;Metode Penelitian Kuantitatif Kualitatif dan R&amp;D&quot;,&quot;author&quot;:[{&quot;family&quot;:&quot;Sugiyono&quot;,&quot;given&quot;:&quot;&quot;,&quot;parse-names&quot;:false,&quot;dropping-particle&quot;:&quot;&quot;,&quot;non-dropping-particle&quot;:&quot;&quot;}],&quot;accessed&quot;:{&quot;date-parts&quot;:[[2026,3,25]]},&quot;URL&quot;:&quot;https://scholar.googleusercontent.com/scholar?q=cache:xTSMSH94SX8J:scholar.google.com/+METODE+PENELITIAN+KUANTITATIF+KUALITATIF+DAN+R%26D&amp;hl=id&amp;as_sdt=0,5&quot;,&quot;issued&quot;:{&quot;date-parts&quot;:[[2013,10]]},&quot;publisher-place&quot;:&quot;Bandung&quot;,&quot;edition&quot;:&quot;19&quot;,&quot;publisher&quot;:&quot;ALFABETA&quot;,&quot;container-title-short&quot;:&quot;&quot;},&quot;isTemporary&quot;:false}]},{&quot;citationID&quot;:&quot;MENDELEY_CITATION_6b8aca73-1309-47aa-b462-fd1d1f0e2ee2&quot;,&quot;properties&quot;:{&quot;noteIndex&quot;:0},&quot;isEdited&quot;:false,&quot;manualOverride&quot;:{&quot;isManuallyOverridden&quot;:true,&quot;citeprocText&quot;:&quot;(Sugiyono, 2013)&quot;,&quot;manualOverrideText&quot;:&quot;Sugiyono, (2013)&quot;},&quot;citationTag&quot;:&quot;MENDELEY_CITATION_v3_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&quot;,&quot;citationItems&quot;:[{&quot;id&quot;:&quot;f102bba3-8af2-3dc1-8100-d5aa5c5486fb&quot;,&quot;itemData&quot;:{&quot;type&quot;:&quot;book&quot;,&quot;id&quot;:&quot;f102bba3-8af2-3dc1-8100-d5aa5c5486fb&quot;,&quot;title&quot;:&quot;Metode Penelitian Kuantitatif Kualitatif dan R&amp;D&quot;,&quot;author&quot;:[{&quot;family&quot;:&quot;Sugiyono&quot;,&quot;given&quot;:&quot;&quot;,&quot;parse-names&quot;:false,&quot;dropping-particle&quot;:&quot;&quot;,&quot;non-dropping-particle&quot;:&quot;&quot;}],&quot;accessed&quot;:{&quot;date-parts&quot;:[[2026,3,25]]},&quot;URL&quot;:&quot;https://scholar.googleusercontent.com/scholar?q=cache:xTSMSH94SX8J:scholar.google.com/+METODE+PENELITIAN+KUANTITATIF+KUALITATIF+DAN+R%26D&amp;hl=id&amp;as_sdt=0,5&quot;,&quot;issued&quot;:{&quot;date-parts&quot;:[[2013,10]]},&quot;publisher-place&quot;:&quot;Bandung&quot;,&quot;edition&quot;:&quot;19&quot;,&quot;publisher&quot;:&quot;ALFABETA&quot;,&quot;container-title-short&quot;:&quot;&quot;},&quot;isTemporary&quot;:false}]},{&quot;citationID&quot;:&quot;MENDELEY_CITATION_8adf4345-f288-48f6-992b-195df1e7cd1f&quot;,&quot;properties&quot;:{&quot;noteIndex&quot;:0},&quot;isEdited&quot;:false,&quot;manualOverride&quot;:{&quot;isManuallyOverridden&quot;:true,&quot;citeprocText&quot;:&quot;(Sugiyono, 2013)&quot;,&quot;manualOverrideText&quot;:&quot;Sugiyono, (2013)&quot;},&quot;citationTag&quot;:&quot;MENDELEY_CITATION_v3_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&quot;,&quot;citationItems&quot;:[{&quot;id&quot;:&quot;f102bba3-8af2-3dc1-8100-d5aa5c5486fb&quot;,&quot;itemData&quot;:{&quot;type&quot;:&quot;book&quot;,&quot;id&quot;:&quot;f102bba3-8af2-3dc1-8100-d5aa5c5486fb&quot;,&quot;title&quot;:&quot;Metode Penelitian Kuantitatif Kualitatif dan R&amp;D&quot;,&quot;author&quot;:[{&quot;family&quot;:&quot;Sugiyono&quot;,&quot;given&quot;:&quot;&quot;,&quot;parse-names&quot;:false,&quot;dropping-particle&quot;:&quot;&quot;,&quot;non-dropping-particle&quot;:&quot;&quot;}],&quot;accessed&quot;:{&quot;date-parts&quot;:[[2026,3,25]]},&quot;URL&quot;:&quot;https://scholar.googleusercontent.com/scholar?q=cache:xTSMSH94SX8J:scholar.google.com/+METODE+PENELITIAN+KUANTITATIF+KUALITATIF+DAN+R%26D&amp;hl=id&amp;as_sdt=0,5&quot;,&quot;issued&quot;:{&quot;date-parts&quot;:[[2013,10]]},&quot;publisher-place&quot;:&quot;Bandung&quot;,&quot;edition&quot;:&quot;19&quot;,&quot;publisher&quot;:&quot;ALFABETA&quot;,&quot;container-title-short&quot;:&quot;&quot;},&quot;isTemporary&quot;:false}]},{&quot;citationID&quot;:&quot;MENDELEY_CITATION_e4b52fdd-f069-44b1-9675-e3bf9b457bf0&quot;,&quot;properties&quot;:{&quot;noteIndex&quot;:0},&quot;isEdited&quot;:false,&quot;manualOverride&quot;:{&quot;isManuallyOverridden&quot;:false,&quot;citeprocText&quot;:&quot;(Brigham &amp;#38; Houston, 2004)&quot;,&quot;manualOverrideText&quot;:&quot;&quot;},&quot;citationTag&quot;:&quot;MENDELEY_CITATION_v3_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&quot;,&quot;citationItems&quot;:[{&quot;id&quot;:&quot;a8011c5f-be84-3490-bfb6-475f50f5a8ef&quot;,&quot;itemData&quot;:{&quot;type&quot;:&quot;book&quot;,&quot;id&quot;:&quot;a8011c5f-be84-3490-bfb6-475f50f5a8ef&quot;,&quot;title&quot;:&quot;Fundamentals of Financial Management&quot;,&quot;author&quot;:[{&quot;family&quot;:&quot;Brigham&quot;,&quot;given&quot;:&quot;Eugene F..&quot;,&quot;parse-names&quot;:false,&quot;dropping-particle&quot;:&quot;&quot;,&quot;non-dropping-particle&quot;:&quot;&quot;},{&quot;family&quot;:&quot;Houston&quot;,&quot;given&quot;:&quot;Joel F..&quot;,&quot;parse-names&quot;:false,&quot;dropping-particle&quot;:&quot;&quot;,&quot;non-dropping-particle&quot;:&quot;&quot;}],&quot;accessed&quot;:{&quot;date-parts&quot;:[[2026,3,25]]},&quot;ISBN&quot;:&quot;0324319819&quot;,&quot;URL&quot;:&quot;https://scholar.googleusercontent.com/scholar?q=cache:DJsZUGuExcQJ:scholar.google.com/+Fundamentals+of+financial+management.+&amp;hl=id&amp;as_sdt=0,5&quot;,&quot;issued&quot;:{&quot;date-parts&quot;:[[2004]]},&quot;abstract&quot;:&quot;11th ed. Thomson One access code card inserted to provide access to online resources: current and past company data, financial analyst data and forecasts, SEC disclosure statements, etc. An Overview of Financial Management -- Value of Money -- Financial Statements, Cash Flow, and Taxes -- Analysis of Financial Statements -- Financial Markets and Institutions -- Interest Rates -- Bonds and Their Valuation -- Risk and Rates of Return -- Stocks and Their Valuation -- The Cost of Capital -- The Basics of Capital Budgeting -- Cash Flow Estimation and Risk Analysis -- Real Options and Other Topics in Capital Budgeting -- Capital Structure and Leverage -- Distributions to Shareholders: Dividends and Share Repurchases -- Working Capital Management -- Financial Planning and Forecasting -- Derivatives and Risk Management -- Multinational Financial Management -- Hybrid Financing: Preferred Stock, Leasing, Warrants, and Convertibles -- Mergers and Acquisitions.&quot;,&quot;publisher&quot;:&quot;Thomson/South-Western&quot;,&quot;container-title-short&quot;:&quot;&quot;},&quot;isTemporary&quot;:false}]},{&quot;citationID&quot;:&quot;MENDELEY_CITATION_405ee3be-6eb9-482f-a85c-1cbbe68443b0&quot;,&quot;properties&quot;:{&quot;noteIndex&quot;:0},&quot;isEdited&quot;:false,&quot;manualOverride&quot;:{&quot;isManuallyOverridden&quot;:true,&quot;citeprocText&quot;:&quot;(Anzelya, 2020)&quot;,&quot;manualOverrideText&quot;:&quot;Anzelya, (2020)&quot;},&quot;citationTag&quot;:&quot;MENDELEY_CITATION_v3_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&quot;,&quot;citationItems&quot;:[{&quot;id&quot;:&quot;2685d8aa-4c1f-3483-82f4-57cf199758a5&quot;,&quot;itemData&quot;:{&quot;type&quot;:&quot;article-journal&quot;,&quot;id&quot;:&quot;2685d8aa-4c1f-3483-82f4-57cf199758a5&quot;,&quot;title&quot;:&quot;Pengaruh Efektivitas Komite Audit, Kualitas Internal dan Eksternal Audit terhadap Manajemen Laba Riil&quot;,&quot;author&quot;:[{&quot;family&quot;:&quot;Anzelya&quot;,&quot;given&quot;:&quot;Yunni&quot;,&quot;parse-names&quot;:false,&quot;dropping-particle&quot;:&quot;&quot;,&quot;non-dropping-particle&quot;:&quot;&quot;}],&quot;container-title&quot;:&quot;JURNAL ONLINE INSAN AKUNTAN&quot;,&quot;DOI&quot;:&quot;https://doi.org/10.51211/joia.v5i1.1325&quot;,&quot;ISSN&quot;:&quot;2528-0163&quot;,&quot;issued&quot;:{&quot;date-parts&quot;:[[2020]]},&quot;page&quot;:&quot;99-112&quot;,&quot;issue&quot;:&quot;1&quot;,&quot;volume&quot;:&quot;5&quot;,&quot;container-title-short&quot;:&quot;&quot;},&quot;isTemporary&quot;:false}]},{&quot;citationID&quot;:&quot;MENDELEY_CITATION_b3941c9e-74cc-417b-bbc7-7710142e54c1&quot;,&quot;properties&quot;:{&quot;noteIndex&quot;:0},&quot;isEdited&quot;:false,&quot;manualOverride&quot;:{&quot;isManuallyOverridden&quot;:false,&quot;citeprocText&quot;:&quot;(Rosalina, 2025)&quot;,&quot;manualOverrideText&quot;:&quot;&quot;},&quot;citationTag&quot;:&quot;MENDELEY_CITATION_v3_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&quot;,&quot;citationItems&quot;:[{&quot;id&quot;:&quot;048d8b56-6c92-3f7f-8575-407ce292afcc&quot;,&quot;itemData&quot;:{&quot;type&quot;:&quot;article-journal&quot;,&quot;id&quot;:&quot;048d8b56-6c92-3f7f-8575-407ce292afcc&quot;,&quot;title&quot;:&quot;Pengaruh Keahlian Komite Audit dan Frekuensi Rapat\nKomite Audit terhadap Kualitas Pelaporan Keuangan di\nSektor Kesehatan&quot;,&quot;author&quot;:[{&quot;family&quot;:&quot;Rosalina&quot;,&quot;given&quot;:&quot;&quot;,&quot;parse-names&quot;:false,&quot;dropping-particle&quot;:&quot;&quot;,&quot;non-dropping-particle&quot;:&quot;&quot;}],&quot;container-title&quot;:&quot;Syntax Idea&quot;,&quot;DOI&quot;:&quot;https://doi.org/10.46799/syntaxidea.v7i7.13409&quot;,&quot;issued&quot;:{&quot;date-parts&quot;:[[2025,7]]},&quot;page&quot;:&quot;2548-1398&quot;,&quot;issue&quot;:&quot;7&quot;,&quot;volume&quot;:&quot;7&quot;,&quot;container-title-short&quot;:&quot;&quot;},&quot;isTemporary&quot;:false}]},{&quot;citationID&quot;:&quot;MENDELEY_CITATION_1f3e3511-701c-4280-8227-f2d6858a2df9&quot;,&quot;properties&quot;:{&quot;noteIndex&quot;:0},&quot;isEdited&quot;:false,&quot;manualOverride&quot;:{&quot;isManuallyOverridden&quot;:true,&quot;citeprocText&quot;:&quot;(Anderson et al., 2003)&quot;,&quot;manualOverrideText&quot;:&quot;Anderson et al., (2003)&quot;},&quot;citationTag&quot;:&quot;MENDELEY_CITATION_v3_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&quot;,&quot;citationItems&quot;:[{&quot;id&quot;:&quot;4f47c6ff-7678-3177-9a11-e9b6b728d698&quot;,&quot;itemData&quot;:{&quot;type&quot;:&quot;article-journal&quot;,&quot;id&quot;:&quot;4f47c6ff-7678-3177-9a11-e9b6b728d698&quot;,&quot;title&quot;:&quot;Board Characteristics, Accounting Report Integrity, and the Cost of Debt&quot;,&quot;author&quot;:[{&quot;family&quot;:&quot;Anderson&quot;,&quot;given&quot;:&quot;Ronald C&quot;,&quot;parse-names&quot;:false,&quot;dropping-particle&quot;:&quot;&quot;,&quot;non-dropping-particle&quot;:&quot;&quot;},{&quot;family&quot;:&quot;Mansi&quot;,&quot;given&quot;:&quot;Sattar A&quot;,&quot;parse-names&quot;:false,&quot;dropping-particle&quot;:&quot;&quot;,&quot;non-dropping-particle&quot;:&quot;&quot;},{&quot;family&quot;:&quot;Reeb&quot;,&quot;given&quot;:&quot;David M&quot;,&quot;parse-names&quot;:false,&quot;dropping-particle&quot;:&quot;&quot;,&quot;non-dropping-particle&quot;:&quot;&quot;}],&quot;container-title&quot;:&quot;Journal of Accounting and Economics&quot;,&quot;DOI&quot;:&quot;https://doi.org/10.1016/j.jacceco.2004.01.004&quot;,&quot;issued&quot;:{&quot;date-parts&quot;:[[2003,11,15]]},&quot;language&quot;:&quot;English&quot;,&quot;abstract&quot;:&quot;Creditor reliance on accounting-based debt covenants suggests that debtors are potentially concerned with board of director characteristics that influence the financial accounting process. In a sample of S&amp;P 500 firms, we find that the cost of debt financing is inversely related to board independence and board size. We also examine the impact of audit committee characteristics on corporate yields spreads as audit committees are the direct mechanism that boards use to monitor the financial accounting process. We find that fully independent audit committees are associated with a significantly lower cost of debt financing. Similarly, yield spreads are also negatively related to audit committee size and the number of audit committee meetings. Overall, these results provide market-based evidence that boards and audit committees are important elements affecting the reliability of financial reports. JEL Classification: M4, K0, G3&quot;,&quot;issue&quot;:&quot;3&quot;,&quot;volume&quot;:&quot;37&quot;,&quot;container-title-short&quot;:&quot;&quot;},&quot;isTemporary&quot;:false}]},{&quot;citationID&quot;:&quot;MENDELEY_CITATION_33a5eefc-9e80-414d-bd1b-bbb4acdf2c57&quot;,&quot;properties&quot;:{&quot;noteIndex&quot;:0},&quot;isEdited&quot;:false,&quot;manualOverride&quot;:{&quot;isManuallyOverridden&quot;:false,&quot;citeprocText&quot;:&quot;(Josephine et al., 2019)&quot;,&quot;manualOverrideText&quot;:&quot;&quot;},&quot;citationTag&quot;:&quot;MENDELEY_CITATION_v3_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&quot;,&quot;citationItems&quot;:[{&quot;id&quot;:&quot;ddacbaf7-1b9c-3b4c-8a64-6beb7cf98cc4&quot;,&quot;itemData&quot;:{&quot;type&quot;:&quot;article-journal&quot;,&quot;id&quot;:&quot;ddacbaf7-1b9c-3b4c-8a64-6beb7cf98cc4&quot;,&quot;title&quot;:&quot;Pengaruh Modal Intelektual dan Tata Kelola Perusahaan terhadap Nilai Perusahan Melalui Kinerja Keuangan (Studi Empiris pada Perusahaan  LQ45 di Bursa Efek Indonesia periode 2015-2017)&quot;,&quot;author&quot;:[{&quot;family&quot;:&quot;Josephine&quot;,&quot;given&quot;:&quot;Kezia&quot;,&quot;parse-names&quot;:false,&quot;dropping-particle&quot;:&quot;&quot;,&quot;non-dropping-particle&quot;:&quot;&quot;},{&quot;family&quot;:&quot;Trisnawati&quot;,&quot;given&quot;:&quot;Estralita&quot;,&quot;parse-names&quot;:false,&quot;dropping-particle&quot;:&quot;&quot;,&quot;non-dropping-particle&quot;:&quot;&quot;},{&quot;family&quot;:&quot;Setijaningsih&quot;,&quot;given&quot;:&quot;Herlin Tundjung&quot;,&quot;parse-names&quot;:false,&quot;dropping-particle&quot;:&quot;&quot;,&quot;non-dropping-particle&quot;:&quot;&quot;}],&quot;container-title&quot;:&quot;Jurnal Muara Ilmu Ekonomi dan Bisnis&quot;,&quot;DOI&quot;:&quot;10.24912/jmieb.v3i1.2474&quot;,&quot;ISSN&quot;:&quot;2579-6224&quot;,&quot;issued&quot;:{&quot;date-parts&quot;:[[2019,4]]},&quot;page&quot;:&quot;59-70&quot;,&quot;abstract&quot;:&quot;Saat ini investor lebih tertarik berinvestasi pada perusahaan yang memiliki harga saham yang stabil. Oleh sebab itu, penting bagi perusahaan untuk mengetahui faktor-faktor yang berpengaruh terhadap harga saham. Dalam penelitian ini terdapat dua faktor yang akan yaitu modal intelektual dan tata kelola perusahaan dengan menggunakan variabel mediasi kinerja keuangan (ROA). Penelitian ini ingin melihat pengaruh langsung dan tidak langsung antara variabel independen terhadap variabel dependen. Sampel yang digunakan dalam penelitian diambil melalui perusahaan dalam LQ 45 dengan menggunakan metode purposive sampling dalam periode waktu 2015-2017. Metode analisis data yang digunakan ialah Eviews versi 10. Hasil dari penelitian ini menemukan bahwa modal intelektual tidak berpengaruh langsumh terhadap nilai perusahaan, sedangkan tata kelola perusahaan memiliki pengaruh terhadap nilai perusahaan. Hasil penelitian ini juga menemukan bahwa terjadi pengaruh tidak langsung antara tata kelola perusahaan terhadap nilai perusahaan melalui kinerja keuangan. Currently investors will be more interested in investing in companies that have a stable stock price. Therefore, it is important for the company to know the factors that affect the stock price. In this research there are two factors that will be intellectual capital and corporate governance by using variable of financial performance mediation (ROA). This study wanted to see the direct and indirect influence between the independent variables to the dependent variable. The sample used in the study was taken through the company in LQ 45 by using purposive sampling method within the period of 2015-2017. Data analysis method used is Eviews version 10. The results of this study found that intellectual capital has no direct effect on firm’s value, while corporate governance has an influence on firm’s value. The results of this study also found that there is an indirect influence between corporate governance on firm’s value through financial performance.&quot;,&quot;publisher&quot;:&quot;Universitas Tarumanagara&quot;,&quot;issue&quot;:&quot;1&quot;,&quot;volume&quot;:&quot;3&quot;,&quot;container-title-short&quot;:&quot;&quot;},&quot;isTemporary&quot;:false}]},{&quot;citationID&quot;:&quot;MENDELEY_CITATION_ccde428d-d1e8-4b83-91ae-4bbe0ee85fdc&quot;,&quot;properties&quot;:{&quot;noteIndex&quot;:0},&quot;isEdited&quot;:false,&quot;manualOverride&quot;:{&quot;isManuallyOverridden&quot;:true,&quot;citeprocText&quot;:&quot;(Sapna et al., 2025)&quot;,&quot;manualOverrideText&quot;:&quot;Sapna et al., (2025)&quot;},&quot;citationTag&quot;:&quot;MENDELEY_CITATION_v3_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&quot;,&quot;citationItems&quot;:[{&quot;id&quot;:&quot;2f8226a0-d624-386a-8fb3-d1d70720d3aa&quot;,&quot;itemData&quot;:{&quot;type&quot;:&quot;article-journal&quot;,&quot;id&quot;:&quot;2f8226a0-d624-386a-8fb3-d1d70720d3aa&quot;,&quot;title&quot;:&quot;Pengaruh Struktur Modal, Kebijakan Dividen, dan Profitabilitas\nTerhadap Nilai Perusahaan&quot;,&quot;author&quot;:[{&quot;family&quot;:&quot;Sapna&quot;,&quot;given&quot;:&quot;Atika&quot;,&quot;parse-names&quot;:false,&quot;dropping-particle&quot;:&quot;&quot;,&quot;non-dropping-particle&quot;:&quot;&quot;},{&quot;family&quot;:&quot;Said&quot;,&quot;given&quot;:&quot;Saida&quot;,&quot;parse-names&quot;:false,&quot;dropping-particle&quot;:&quot;&quot;,&quot;non-dropping-particle&quot;:&quot;&quot;},{&quot;family&quot;:&quot;Mellisyah&quot;,&quot;given&quot;:&quot;&quot;,&quot;parse-names&quot;:false,&quot;dropping-particle&quot;:&quot;&quot;,&quot;non-dropping-particle&quot;:&quot;&quot;}],&quot;container-title&quot;:&quot;PARADOKS Jurnal Ilmu Ekonomi&quot;,&quot;DOI&quot;:&quot;https://doi.org/10.57178/paradoks.v8i2.1284&quot;,&quot;ISSN&quot;:&quot;2622-6383&quot;,&quot;issued&quot;:{&quot;date-parts&quot;:[[2025,4]]},&quot;issue&quot;:&quot;2&quot;,&quot;volume&quot;:&quot;8&quot;,&quot;container-title-short&quot;:&quot;&quot;},&quot;isTemporary&quot;:false}]},{&quot;citationID&quot;:&quot;MENDELEY_CITATION_22e60abc-099e-471a-b813-19735028a441&quot;,&quot;properties&quot;:{&quot;noteIndex&quot;:0},&quot;isEdited&quot;:false,&quot;manualOverride&quot;:{&quot;isManuallyOverridden&quot;:false,&quot;citeprocText&quot;:&quot;(Josephine et al., 2019)&quot;,&quot;manualOverrideText&quot;:&quot;&quot;},&quot;citationTag&quot;:&quot;MENDELEY_CITATION_v3_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&quot;,&quot;citationItems&quot;:[{&quot;id&quot;:&quot;ddacbaf7-1b9c-3b4c-8a64-6beb7cf98cc4&quot;,&quot;itemData&quot;:{&quot;type&quot;:&quot;article-journal&quot;,&quot;id&quot;:&quot;ddacbaf7-1b9c-3b4c-8a64-6beb7cf98cc4&quot;,&quot;title&quot;:&quot;Pengaruh Modal Intelektual dan Tata Kelola Perusahaan terhadap Nilai Perusahan Melalui Kinerja Keuangan (Studi Empiris pada Perusahaan  LQ45 di Bursa Efek Indonesia periode 2015-2017)&quot;,&quot;author&quot;:[{&quot;family&quot;:&quot;Josephine&quot;,&quot;given&quot;:&quot;Kezia&quot;,&quot;parse-names&quot;:false,&quot;dropping-particle&quot;:&quot;&quot;,&quot;non-dropping-particle&quot;:&quot;&quot;},{&quot;family&quot;:&quot;Trisnawati&quot;,&quot;given&quot;:&quot;Estralita&quot;,&quot;parse-names&quot;:false,&quot;dropping-particle&quot;:&quot;&quot;,&quot;non-dropping-particle&quot;:&quot;&quot;},{&quot;family&quot;:&quot;Setijaningsih&quot;,&quot;given&quot;:&quot;Herlin Tundjung&quot;,&quot;parse-names&quot;:false,&quot;dropping-particle&quot;:&quot;&quot;,&quot;non-dropping-particle&quot;:&quot;&quot;}],&quot;container-title&quot;:&quot;Jurnal Muara Ilmu Ekonomi dan Bisnis&quot;,&quot;DOI&quot;:&quot;10.24912/jmieb.v3i1.2474&quot;,&quot;ISSN&quot;:&quot;2579-6224&quot;,&quot;issued&quot;:{&quot;date-parts&quot;:[[2019,4]]},&quot;page&quot;:&quot;59-70&quot;,&quot;abstract&quot;:&quot;Saat ini investor lebih tertarik berinvestasi pada perusahaan yang memiliki harga saham yang stabil. Oleh sebab itu, penting bagi perusahaan untuk mengetahui faktor-faktor yang berpengaruh terhadap harga saham. Dalam penelitian ini terdapat dua faktor yang akan yaitu modal intelektual dan tata kelola perusahaan dengan menggunakan variabel mediasi kinerja keuangan (ROA). Penelitian ini ingin melihat pengaruh langsung dan tidak langsung antara variabel independen terhadap variabel dependen. Sampel yang digunakan dalam penelitian diambil melalui perusahaan dalam LQ 45 dengan menggunakan metode purposive sampling dalam periode waktu 2015-2017. Metode analisis data yang digunakan ialah Eviews versi 10. Hasil dari penelitian ini menemukan bahwa modal intelektual tidak berpengaruh langsumh terhadap nilai perusahaan, sedangkan tata kelola perusahaan memiliki pengaruh terhadap nilai perusahaan. Hasil penelitian ini juga menemukan bahwa terjadi pengaruh tidak langsung antara tata kelola perusahaan terhadap nilai perusahaan melalui kinerja keuangan. Currently investors will be more interested in investing in companies that have a stable stock price. Therefore, it is important for the company to know the factors that affect the stock price. In this research there are two factors that will be intellectual capital and corporate governance by using variable of financial performance mediation (ROA). This study wanted to see the direct and indirect influence between the independent variables to the dependent variable. The sample used in the study was taken through the company in LQ 45 by using purposive sampling method within the period of 2015-2017. Data analysis method used is Eviews version 10. The results of this study found that intellectual capital has no direct effect on firm’s value, while corporate governance has an influence on firm’s value. The results of this study also found that there is an indirect influence between corporate governance on firm’s value through financial performance.&quot;,&quot;publisher&quot;:&quot;Universitas Tarumanagara&quot;,&quot;issue&quot;:&quot;1&quot;,&quot;volume&quot;:&quot;3&quot;,&quot;container-title-short&quot;:&quot;&quot;},&quot;isTemporary&quot;:false}]},{&quot;citationID&quot;:&quot;MENDELEY_CITATION_9ef47f5b-36eb-4497-9969-56e511d96746&quot;,&quot;properties&quot;:{&quot;noteIndex&quot;:0},&quot;isEdited&quot;:false,&quot;manualOverride&quot;:{&quot;isManuallyOverridden&quot;:true,&quot;citeprocText&quot;:&quot;(Sìmnett et al., 2009)&quot;,&quot;manualOverrideText&quot;:&quot;Sìmnett et al., (2009)&quot;},&quot;citationTag&quot;:&quot;MENDELEY_CITATION_v3_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&quot;,&quot;citationItems&quot;:[{&quot;id&quot;:&quot;d6f9a466-9c0a-355a-8f78-c16ec163c90a&quot;,&quot;itemData&quot;:{&quot;type&quot;:&quot;article-journal&quot;,&quot;id&quot;:&quot;d6f9a466-9c0a-355a-8f78-c16ec163c90a&quot;,&quot;title&quot;:&quot;Assurance on Sustainability Reports: An International Comparison&quot;,&quot;author&quot;:[{&quot;family&quot;:&quot;Sìmnett&quot;,&quot;given&quot;:&quot;Roger&quot;,&quot;parse-names&quot;:false,&quot;dropping-particle&quot;:&quot;&quot;,&quot;non-dropping-particle&quot;:&quot;&quot;},{&quot;family&quot;:&quot;Vanstraelen&quot;,&quot;given&quot;:&quot;Ann&quot;,&quot;parse-names&quot;:false,&quot;dropping-particle&quot;:&quot;&quot;,&quot;non-dropping-particle&quot;:&quot;&quot;},{&quot;family&quot;:&quot;Chua&quot;,&quot;given&quot;:&quot;Wai Fong&quot;,&quot;parse-names&quot;:false,&quot;dropping-particle&quot;:&quot;&quot;,&quot;non-dropping-particle&quot;:&quot;&quot;}],&quot;container-title&quot;:&quot;Accounting Review&quot;,&quot;DOI&quot;:&quot;10.2308/accr.2009.84.3.937&quot;,&quot;ISSN&quot;:&quot;00014826&quot;,&quot;issued&quot;:{&quot;date-parts&quot;:[[2009,5]]},&quot;page&quot;:&quot;937-967&quot;,&quot;abstract&quot;:&quot;Globally, companies increasingly publish separate general purpose, non-financial (sustainability) reports. Some of these are independently assured and assurers may or may not be from the auditing profession. We seek to understand this emerging voluntary assurance market. Using a sample of 2,113 companies (from 31 countries) that produced sustainability reports between 2002-2004, we use sequential logit analysis to identify the factors associated with the decision to voluntarily purchase assurance and the choice of assurance provider. We hypothesize that a company's need to enhance credibility through assurance and choice of assurance provider will be a function of company-, industry-, and country-related factors. Our results support the argument that companies seeking to enhance the credibility of their reports and build their corporate reputation are more likely to have their sustainability reports assured, although it does not matter whether the assurance provider comes from the auditing profession. We also find that companies operating in stakeholder-orientated countries are more likely to choose the auditing profession as an assurer.&quot;,&quot;issue&quot;:&quot;3&quot;,&quot;volume&quot;:&quot;84&quot;,&quot;container-title-short&quot;:&quot;&quot;},&quot;isTemporary&quot;:false}]},{&quot;citationID&quot;:&quot;MENDELEY_CITATION_7db8cfd6-a1f4-4f12-9e26-c89fa243bf97&quot;,&quot;properties&quot;:{&quot;noteIndex&quot;:0},&quot;isEdited&quot;:false,&quot;manualOverride&quot;:{&quot;isManuallyOverridden&quot;:false,&quot;citeprocText&quot;:&quot;(Anggraini &amp;#38; Arieftiara, 2023)&quot;,&quot;manualOverrideText&quot;:&quot;&quot;},&quot;citationTag&quot;:&quot;MENDELEY_CITATION_v3_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&quot;,&quot;citationItems&quot;:[{&quot;id&quot;:&quot;e61aca2d-5a9f-3247-91c6-8da5f8f7f6c7&quot;,&quot;itemData&quot;:{&quot;type&quot;:&quot;article-journal&quot;,&quot;id&quot;:&quot;e61aca2d-5a9f-3247-91c6-8da5f8f7f6c7&quot;,&quot;title&quot;:&quot;Analisis Green Innovation, Laporan Keberlanjutan, dan\nOpini Going Concern Serta Dampaknya pada Nilai Perusahaan&quot;,&quot;author&quot;:[{&quot;family&quot;:&quot;Anggraini&quot;,&quot;given&quot;:&quot;Sylvia Putri&quot;,&quot;parse-names&quot;:false,&quot;dropping-particle&quot;:&quot;&quot;,&quot;non-dropping-particle&quot;:&quot;&quot;},{&quot;family&quot;:&quot;Arieftiara&quot;,&quot;given&quot;:&quot;Dianwicaksih&quot;,&quot;parse-names&quot;:false,&quot;dropping-particle&quot;:&quot;&quot;,&quot;non-dropping-particle&quot;:&quot;&quot;}],&quot;container-title&quot;:&quot;Jurnal Equity&quot;,&quot;DOI&quot;:&quot;DOI:10.34209/equ.v26i2.7413&quot;,&quot;issued&quot;:{&quot;date-parts&quot;:[[2023,8]]},&quot;page&quot;:&quot;149-172&quot;,&quot;issue&quot;:&quot;2&quot;,&quot;volume&quot;:&quot;26&quot;,&quot;container-title-short&quot;:&quot;&quot;},&quot;isTemporary&quot;:false}]},{&quot;citationID&quot;:&quot;MENDELEY_CITATION_96b71a78-b916-40f8-ad5d-5b7cb441d336&quot;,&quot;properties&quot;:{&quot;noteIndex&quot;:0},&quot;isEdited&quot;:false,&quot;manualOverride&quot;:{&quot;isManuallyOverridden&quot;:false,&quot;citeprocText&quot;:&quot;(Purnamasari, 2025)&quot;,&quot;manualOverrideText&quot;:&quot;&quot;},&quot;citationTag&quot;:&quot;MENDELEY_CITATION_v3_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&quot;,&quot;citationItems&quot;:[{&quot;id&quot;:&quot;8172ffa9-cec2-3361-8833-de9282b986a4&quot;,&quot;itemData&quot;:{&quot;type&quot;:&quot;article-journal&quot;,&quot;id&quot;:&quot;8172ffa9-cec2-3361-8833-de9282b986a4&quot;,&quot;title&quot;:&quot;Mekanisme Perkembangan Pasar Modal sebagai Salah Satu Produk Investasi di Masyarakat&quot;,&quot;author&quot;:[{&quot;family&quot;:&quot;Purnamasari&quot;,&quot;given&quot;:&quot;Sinta Ayu&quot;,&quot;parse-names&quot;:false,&quot;dropping-particle&quot;:&quot;&quot;,&quot;non-dropping-particle&quot;:&quot;&quot;}],&quot;container-title&quot;:&quot;Jurnal Rumpun Manajemen dan Ekonomi&quot;,&quot;DOI&quot;:&quot;10.61722/jrme.v2i3.4739&quot;,&quot;URL&quot;:&quot;https://doi.org/10.61722/jrme.v2i3.4739&quot;,&quot;issued&quot;:{&quot;date-parts&quot;:[[2025,5]]},&quot;page&quot;:&quot;499-515&quot;,&quot;abstract&quot;:&quot;Abstrak. The capital market is one of the important instruments in the economy that functions to connect parties in need of funds with those who have funds through the buying and selling of securities. As an investment product, the capital market plays a strategic role in driving economic growth, creating job opportunities, and increasing the efficiency of resource allocation. The aim of this study is to analyze the mechanisms of the capital market and its development as an investment product in society. This study also aims to identify the functions of the capital market in the economy and assess its impact on the general economic condition of society. The research method used in this study is a descriptive approach with qualitative analysis of secondary data obtained from various sources, such as annual reports from financial institutions and related literature. The results show that the capital market functions as a means of raising funds, distributing risks, and providing transparent information. In addition, the development of the capital market has made significant progress, with increased participation from the public in investing in stocks and bonds. This study also found that with the existence of the capital market, the public has greater opportunities to invest, which ultimately leads to the improvement of overall economic welfare.&quot;,&quot;issue&quot;:&quot;3&quot;,&quot;volume&quot;:&quot;2&quot;,&quot;container-title-short&quot;:&quot;&quot;},&quot;isTemporary&quot;:false}]},{&quot;citationID&quot;:&quot;MENDELEY_CITATION_39bdcf10-2c08-4a1d-8dba-f5a8eb98398a&quot;,&quot;properties&quot;:{&quot;noteIndex&quot;:0},&quot;isEdited&quot;:false,&quot;manualOverride&quot;:{&quot;isManuallyOverridden&quot;:true,&quot;citeprocText&quot;:&quot;(Manurung et al., 2025)&quot;,&quot;manualOverrideText&quot;:&quot;Manurung et al., (2025)&quot;},&quot;citationTag&quot;:&quot;MENDELEY_CITATION_v3_eyJjaXRhdGlvbklEIjoiTUVOREVMRVlfQ0lUQVRJT05fMzliZGNmMTAtMmMwOC00YTFkLThkYmEtZjVhOGViOTgzOThh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quot;,&quot;citationItems&quot;:[{&quot;id&quot;:&quot;a4a897c1-eac2-35c1-9a44-0aceebacc55a&quot;,&quot;itemData&quot;:{&quot;type&quot;:&quot;article-journal&quot;,&quot;id&quot;:&quot;a4a897c1-eac2-35c1-9a44-0aceebacc55a&quot;,&quot;title&quot;:&quot;Pengaruh Sustainability Reporting terhadap Nilai Perusahaan: Kajian Literatur Sistematis&quot;,&quot;author&quot;:[{&quot;family&quot;:&quot;Manurung&quot;,&quot;given&quot;:&quot;Amran&quot;,&quot;parse-names&quot;:false,&quot;dropping-particle&quot;:&quot;&quot;,&quot;non-dropping-particle&quot;:&quot;&quot;},{&quot;family&quot;:&quot;Hendriarto&quot;,&quot;given&quot;:&quot;Prasetyono&quot;,&quot;parse-names&quot;:false,&quot;dropping-particle&quot;:&quot;&quot;,&quot;non-dropping-particle&quot;:&quot;&quot;},{&quot;family&quot;:&quot;Sangapan&quot;,&quot;given&quot;:&quot;Lukman Hakim&quot;,&quot;parse-names&quot;:false,&quot;dropping-particle&quot;:&quot;&quot;,&quot;non-dropping-particle&quot;:&quot;&quot;},{&quot;family&quot;:&quot;Manurung&quot;,&quot;given&quot;:&quot;Adler Haymans&quot;,&quot;parse-names&quot;:false,&quot;dropping-particle&quot;:&quot;&quot;,&quot;non-dropping-particle&quot;:&quot;&quot;}],&quot;container-title&quot;:&quot;(JGIA) Jurnal Greenation Ilmu Akuntansi&quot;,&quot;DOI&quot;:&quot;10.38035/jgia.v3i2&quot;,&quot;issued&quot;:{&quot;date-parts&quot;:[[2025]]},&quot;abstract&quot;:&quot;This study aims to analyze the impact of sustainability reporting on firm value through a systematic literature review (SLR) of 48 academic articles published between 2010 and 2024. The review follows the PRISMA guidelines for literature selection and analysis, examining key variables, theoretical frameworks, and the direction of empirical relationships between sustainability reporting and firm value. Findings indicate that 65% of the studies report a positive and significant effect, 19% find no significant relationship, and 16% report a negative effect. Moderating factors such as profitability, firm size, leverage, and audit quality are shown to influence this relationship. Theoretically, the results support the applicability of legitimacy theory, stakeholder theory, and signaling theory as conceptual foundations linking sustainability disclosure transparency to market valuation. This study contributes to the sustainable accounting literature by demonstrating that sustainability reporting functions not merely as a social obligation but also as a strategic economic tool that enhances corporate reputation and competitiveness.&quot;,&quot;issue&quot;:&quot;2&quot;,&quot;volume&quot;:&quot;3&quot;,&quot;container-title-short&quot;:&quot;&quot;},&quot;isTemporary&quot;:false}]},{&quot;citationID&quot;:&quot;MENDELEY_CITATION_4502a14f-6aaa-4d74-b15b-9f81a5565df1&quot;,&quot;properties&quot;:{&quot;noteIndex&quot;:0},&quot;isEdited&quot;:false,&quot;manualOverride&quot;:{&quot;isManuallyOverridden&quot;:true,&quot;citeprocText&quot;:&quot;(Purnamasari, 2025)&quot;,&quot;manualOverrideText&quot;:&quot;Purnamasari, (2025)&quot;},&quot;citationTag&quot;:&quot;MENDELEY_CITATION_v3_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&quot;,&quot;citationItems&quot;:[{&quot;id&quot;:&quot;8172ffa9-cec2-3361-8833-de9282b986a4&quot;,&quot;itemData&quot;:{&quot;type&quot;:&quot;article-journal&quot;,&quot;id&quot;:&quot;8172ffa9-cec2-3361-8833-de9282b986a4&quot;,&quot;title&quot;:&quot;Mekanisme Perkembangan Pasar Modal sebagai Salah Satu Produk Investasi di Masyarakat&quot;,&quot;author&quot;:[{&quot;family&quot;:&quot;Purnamasari&quot;,&quot;given&quot;:&quot;Sinta Ayu&quot;,&quot;parse-names&quot;:false,&quot;dropping-particle&quot;:&quot;&quot;,&quot;non-dropping-particle&quot;:&quot;&quot;}],&quot;container-title&quot;:&quot;Jurnal Rumpun Manajemen dan Ekonomi&quot;,&quot;DOI&quot;:&quot;10.61722/jrme.v2i3.4739&quot;,&quot;URL&quot;:&quot;https://doi.org/10.61722/jrme.v2i3.4739&quot;,&quot;issued&quot;:{&quot;date-parts&quot;:[[2025,5]]},&quot;page&quot;:&quot;499-515&quot;,&quot;abstract&quot;:&quot;Abstrak. The capital market is one of the important instruments in the economy that functions to connect parties in need of funds with those who have funds through the buying and selling of securities. As an investment product, the capital market plays a strategic role in driving economic growth, creating job opportunities, and increasing the efficiency of resource allocation. The aim of this study is to analyze the mechanisms of the capital market and its development as an investment product in society. This study also aims to identify the functions of the capital market in the economy and assess its impact on the general economic condition of society. The research method used in this study is a descriptive approach with qualitative analysis of secondary data obtained from various sources, such as annual reports from financial institutions and related literature. The results show that the capital market functions as a means of raising funds, distributing risks, and providing transparent information. In addition, the development of the capital market has made significant progress, with increased participation from the public in investing in stocks and bonds. This study also found that with the existence of the capital market, the public has greater opportunities to invest, which ultimately leads to the improvement of overall economic welfare.&quot;,&quot;issue&quot;:&quot;3&quot;,&quot;volume&quot;:&quot;2&quot;,&quot;container-title-short&quot;:&quot;&quot;},&quot;isTemporary&quot;:false}]},{&quot;citationID&quot;:&quot;MENDELEY_CITATION_b3b9eb9d-bd55-4cc3-be32-8d9ccba5b868&quot;,&quot;properties&quot;:{&quot;noteIndex&quot;:0},&quot;isEdited&quot;:false,&quot;manualOverride&quot;:{&quot;isManuallyOverridden&quot;:true,&quot;citeprocText&quot;:&quot;(Manurung et al., 2025)&quot;,&quot;manualOverrideText&quot;:&quot;Manurung et al., (2025)&quot;},&quot;citationTag&quot;:&quot;MENDELEY_CITATION_v3_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&quot;,&quot;citationItems&quot;:[{&quot;id&quot;:&quot;a4a897c1-eac2-35c1-9a44-0aceebacc55a&quot;,&quot;itemData&quot;:{&quot;type&quot;:&quot;article-journal&quot;,&quot;id&quot;:&quot;a4a897c1-eac2-35c1-9a44-0aceebacc55a&quot;,&quot;title&quot;:&quot;Pengaruh Sustainability Reporting terhadap Nilai Perusahaan: Kajian Literatur Sistematis&quot;,&quot;author&quot;:[{&quot;family&quot;:&quot;Manurung&quot;,&quot;given&quot;:&quot;Amran&quot;,&quot;parse-names&quot;:false,&quot;dropping-particle&quot;:&quot;&quot;,&quot;non-dropping-particle&quot;:&quot;&quot;},{&quot;family&quot;:&quot;Hendriarto&quot;,&quot;given&quot;:&quot;Prasetyono&quot;,&quot;parse-names&quot;:false,&quot;dropping-particle&quot;:&quot;&quot;,&quot;non-dropping-particle&quot;:&quot;&quot;},{&quot;family&quot;:&quot;Sangapan&quot;,&quot;given&quot;:&quot;Lukman Hakim&quot;,&quot;parse-names&quot;:false,&quot;dropping-particle&quot;:&quot;&quot;,&quot;non-dropping-particle&quot;:&quot;&quot;},{&quot;family&quot;:&quot;Manurung&quot;,&quot;given&quot;:&quot;Adler Haymans&quot;,&quot;parse-names&quot;:false,&quot;dropping-particle&quot;:&quot;&quot;,&quot;non-dropping-particle&quot;:&quot;&quot;}],&quot;container-title&quot;:&quot;(JGIA) Jurnal Greenation Ilmu Akuntansi&quot;,&quot;DOI&quot;:&quot;10.38035/jgia.v3i2&quot;,&quot;issued&quot;:{&quot;date-parts&quot;:[[2025]]},&quot;abstract&quot;:&quot;This study aims to analyze the impact of sustainability reporting on firm value through a systematic literature review (SLR) of 48 academic articles published between 2010 and 2024. The review follows the PRISMA guidelines for literature selection and analysis, examining key variables, theoretical frameworks, and the direction of empirical relationships between sustainability reporting and firm value. Findings indicate that 65% of the studies report a positive and significant effect, 19% find no significant relationship, and 16% report a negative effect. Moderating factors such as profitability, firm size, leverage, and audit quality are shown to influence this relationship. Theoretically, the results support the applicability of legitimacy theory, stakeholder theory, and signaling theory as conceptual foundations linking sustainability disclosure transparency to market valuation. This study contributes to the sustainable accounting literature by demonstrating that sustainability reporting functions not merely as a social obligation but also as a strategic economic tool that enhances corporate reputation and competitiveness.&quot;,&quot;issue&quot;:&quot;2&quot;,&quot;volume&quot;:&quot;3&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81457-5C5D-4C41-A32F-FF500DB5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8981</Words>
  <Characters>51192</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2026-04-21T14:28:00Z</dcterms:created>
  <dcterms:modified xsi:type="dcterms:W3CDTF">2026-04-21T14:28:00Z</dcterms:modified>
</cp:coreProperties>
</file>